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878FCD" w14:textId="75301EE7" w:rsidR="007845FA" w:rsidRPr="00D07CF0" w:rsidRDefault="007845FA" w:rsidP="007845FA">
      <w:pPr>
        <w:pStyle w:val="3GPPHeader"/>
        <w:spacing w:after="60"/>
        <w:rPr>
          <w:sz w:val="22"/>
          <w:szCs w:val="22"/>
          <w:highlight w:val="yellow"/>
        </w:rPr>
      </w:pPr>
      <w:bookmarkStart w:id="0" w:name="OLE_LINK1"/>
      <w:bookmarkStart w:id="1" w:name="OLE_LINK2"/>
      <w:r w:rsidRPr="00D07CF0">
        <w:rPr>
          <w:sz w:val="22"/>
          <w:szCs w:val="22"/>
        </w:rPr>
        <w:t>3GPP TSG-RAN WG2 #93bis</w:t>
      </w:r>
      <w:r w:rsidRPr="00D07CF0">
        <w:rPr>
          <w:sz w:val="22"/>
          <w:szCs w:val="22"/>
        </w:rPr>
        <w:tab/>
      </w:r>
      <w:proofErr w:type="spellStart"/>
      <w:r w:rsidRPr="00D07CF0">
        <w:rPr>
          <w:sz w:val="22"/>
          <w:szCs w:val="22"/>
        </w:rPr>
        <w:t>Tdoc</w:t>
      </w:r>
      <w:proofErr w:type="spellEnd"/>
      <w:r w:rsidRPr="00D07CF0">
        <w:rPr>
          <w:sz w:val="22"/>
          <w:szCs w:val="22"/>
        </w:rPr>
        <w:t xml:space="preserve"> R2-162754</w:t>
      </w:r>
    </w:p>
    <w:p w14:paraId="63A496B1" w14:textId="77777777" w:rsidR="007845FA" w:rsidRPr="00D07CF0" w:rsidRDefault="007845FA" w:rsidP="007845FA">
      <w:pPr>
        <w:pStyle w:val="3GPPHeader"/>
        <w:rPr>
          <w:sz w:val="22"/>
          <w:szCs w:val="22"/>
          <w:lang w:val="pt-BR"/>
        </w:rPr>
      </w:pPr>
      <w:r w:rsidRPr="00D07CF0">
        <w:rPr>
          <w:sz w:val="22"/>
          <w:szCs w:val="22"/>
          <w:lang w:val="pt-BR"/>
        </w:rPr>
        <w:t>Dubrovnik, Croatia, 11 – 15 April 2016</w:t>
      </w:r>
    </w:p>
    <w:p w14:paraId="3C3601BB" w14:textId="77777777" w:rsidR="007845FA" w:rsidRPr="00687C0B" w:rsidRDefault="007845FA" w:rsidP="007845FA">
      <w:pPr>
        <w:pStyle w:val="3GPPHeader"/>
        <w:rPr>
          <w:lang w:val="pt-BR"/>
        </w:rPr>
      </w:pPr>
    </w:p>
    <w:p w14:paraId="7EED3F51" w14:textId="1871A910" w:rsidR="007845FA" w:rsidRPr="00D07CF0" w:rsidRDefault="007845FA" w:rsidP="007845FA">
      <w:pPr>
        <w:pStyle w:val="3GPPHeader"/>
        <w:rPr>
          <w:sz w:val="20"/>
          <w:lang w:val="pt-BR"/>
        </w:rPr>
      </w:pPr>
      <w:r w:rsidRPr="00D07CF0">
        <w:rPr>
          <w:sz w:val="20"/>
          <w:lang w:val="pt-BR"/>
        </w:rPr>
        <w:t>Agenda Item:</w:t>
      </w:r>
      <w:r w:rsidRPr="00D07CF0">
        <w:rPr>
          <w:sz w:val="20"/>
          <w:lang w:val="pt-BR"/>
        </w:rPr>
        <w:tab/>
        <w:t>9.3.2</w:t>
      </w:r>
    </w:p>
    <w:p w14:paraId="0D21A345" w14:textId="77777777" w:rsidR="00D00AE7" w:rsidRPr="00D07CF0" w:rsidRDefault="00D00AE7" w:rsidP="007845FA">
      <w:pPr>
        <w:pStyle w:val="3GPPHeader"/>
        <w:rPr>
          <w:sz w:val="20"/>
        </w:rPr>
      </w:pPr>
      <w:r w:rsidRPr="00D07CF0">
        <w:rPr>
          <w:sz w:val="20"/>
        </w:rPr>
        <w:t>Source:</w:t>
      </w:r>
      <w:r w:rsidRPr="00D07CF0">
        <w:rPr>
          <w:sz w:val="20"/>
        </w:rPr>
        <w:tab/>
        <w:t>Ericsson</w:t>
      </w:r>
    </w:p>
    <w:p w14:paraId="5E814404" w14:textId="09F1F6CF" w:rsidR="00D00AE7" w:rsidRPr="00D07CF0" w:rsidRDefault="00D00AE7" w:rsidP="007845FA">
      <w:pPr>
        <w:pStyle w:val="3GPPHeader"/>
        <w:rPr>
          <w:sz w:val="20"/>
        </w:rPr>
      </w:pPr>
      <w:r w:rsidRPr="00D07CF0">
        <w:rPr>
          <w:sz w:val="20"/>
        </w:rPr>
        <w:t>Title:</w:t>
      </w:r>
      <w:r w:rsidRPr="00D07CF0">
        <w:rPr>
          <w:sz w:val="20"/>
        </w:rPr>
        <w:tab/>
      </w:r>
      <w:r w:rsidR="00677351" w:rsidRPr="00D07CF0">
        <w:rPr>
          <w:sz w:val="20"/>
          <w:lang w:val="en-US"/>
        </w:rPr>
        <w:t xml:space="preserve">Tight integration of </w:t>
      </w:r>
      <w:r w:rsidR="0087450C" w:rsidRPr="00D07CF0">
        <w:rPr>
          <w:sz w:val="20"/>
          <w:lang w:val="en-US"/>
        </w:rPr>
        <w:t>the New Radio interface</w:t>
      </w:r>
      <w:r w:rsidR="00EF4650" w:rsidRPr="00D07CF0">
        <w:rPr>
          <w:sz w:val="20"/>
          <w:lang w:val="en-US"/>
        </w:rPr>
        <w:t xml:space="preserve"> (NR) and </w:t>
      </w:r>
      <w:r w:rsidR="007B0147" w:rsidRPr="00D07CF0">
        <w:rPr>
          <w:sz w:val="20"/>
          <w:lang w:val="en-US"/>
        </w:rPr>
        <w:t>LTE</w:t>
      </w:r>
      <w:r w:rsidR="00496349" w:rsidRPr="00D07CF0">
        <w:rPr>
          <w:sz w:val="20"/>
          <w:lang w:val="en-US"/>
        </w:rPr>
        <w:t>: User Plane design</w:t>
      </w:r>
    </w:p>
    <w:p w14:paraId="779EC26F" w14:textId="77777777" w:rsidR="007845FA" w:rsidRPr="00D07CF0" w:rsidRDefault="007845FA" w:rsidP="007845FA">
      <w:pPr>
        <w:pStyle w:val="3GPPHeader"/>
        <w:rPr>
          <w:sz w:val="20"/>
        </w:rPr>
      </w:pPr>
      <w:r w:rsidRPr="00D07CF0">
        <w:rPr>
          <w:sz w:val="20"/>
        </w:rPr>
        <w:t>Document for:</w:t>
      </w:r>
      <w:r w:rsidRPr="00D07CF0">
        <w:rPr>
          <w:sz w:val="20"/>
        </w:rPr>
        <w:tab/>
        <w:t>Discussion, Decision</w:t>
      </w:r>
    </w:p>
    <w:p w14:paraId="43375EB0" w14:textId="77777777" w:rsidR="007845FA" w:rsidRDefault="007845FA" w:rsidP="00D00AE7">
      <w:pPr>
        <w:pStyle w:val="TdocHeader2"/>
        <w:rPr>
          <w:rFonts w:eastAsia="Times New Roman" w:cs="Arial"/>
          <w:bCs/>
          <w:noProof/>
          <w:sz w:val="20"/>
          <w:szCs w:val="18"/>
          <w:lang w:val="en-US" w:eastAsia="zh-CN"/>
        </w:rPr>
      </w:pPr>
    </w:p>
    <w:p w14:paraId="79D02B58" w14:textId="6B3BAA98" w:rsidR="0038254D" w:rsidRPr="0038254D" w:rsidRDefault="00D00AE7" w:rsidP="0038254D">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1EDB6484" w14:textId="51800E33" w:rsidR="0061697C" w:rsidRDefault="000C628F" w:rsidP="00B344C8">
      <w:pPr>
        <w:tabs>
          <w:tab w:val="left" w:pos="6752"/>
        </w:tabs>
        <w:rPr>
          <w:szCs w:val="22"/>
        </w:rPr>
      </w:pPr>
      <w:r>
        <w:rPr>
          <w:szCs w:val="22"/>
        </w:rPr>
        <w:t>R</w:t>
      </w:r>
      <w:r w:rsidR="0038254D" w:rsidRPr="0057064B">
        <w:rPr>
          <w:szCs w:val="22"/>
        </w:rPr>
        <w:t>equirements</w:t>
      </w:r>
      <w:r w:rsidR="00602907">
        <w:rPr>
          <w:szCs w:val="22"/>
        </w:rPr>
        <w:t xml:space="preserve"> </w:t>
      </w:r>
      <w:r>
        <w:rPr>
          <w:szCs w:val="22"/>
        </w:rPr>
        <w:t>for the n</w:t>
      </w:r>
      <w:r w:rsidRPr="0057064B">
        <w:rPr>
          <w:szCs w:val="22"/>
        </w:rPr>
        <w:t>ew Radio Access Technology</w:t>
      </w:r>
      <w:r>
        <w:rPr>
          <w:szCs w:val="22"/>
        </w:rPr>
        <w:t xml:space="preserve"> (NR)</w:t>
      </w:r>
      <w:r w:rsidR="00E356C5">
        <w:rPr>
          <w:szCs w:val="22"/>
        </w:rPr>
        <w:t xml:space="preserve"> </w:t>
      </w:r>
      <w:r w:rsidR="00E356C5">
        <w:rPr>
          <w:szCs w:val="22"/>
        </w:rPr>
        <w:fldChar w:fldCharType="begin"/>
      </w:r>
      <w:r w:rsidR="00E356C5">
        <w:rPr>
          <w:szCs w:val="22"/>
        </w:rPr>
        <w:instrText xml:space="preserve"> REF _Ref447315032 \r \h </w:instrText>
      </w:r>
      <w:r w:rsidR="00E356C5">
        <w:rPr>
          <w:szCs w:val="22"/>
        </w:rPr>
      </w:r>
      <w:r w:rsidR="00E356C5">
        <w:rPr>
          <w:szCs w:val="22"/>
        </w:rPr>
        <w:fldChar w:fldCharType="separate"/>
      </w:r>
      <w:r w:rsidR="00E356C5">
        <w:rPr>
          <w:szCs w:val="22"/>
        </w:rPr>
        <w:t>[1]</w:t>
      </w:r>
      <w:r w:rsidR="00E356C5">
        <w:rPr>
          <w:szCs w:val="22"/>
        </w:rPr>
        <w:fldChar w:fldCharType="end"/>
      </w:r>
      <w:r w:rsidR="00602907">
        <w:rPr>
          <w:szCs w:val="22"/>
        </w:rPr>
        <w:t xml:space="preserve"> </w:t>
      </w:r>
      <w:r>
        <w:rPr>
          <w:szCs w:val="22"/>
        </w:rPr>
        <w:t xml:space="preserve">have been collected </w:t>
      </w:r>
      <w:r w:rsidR="0038254D" w:rsidRPr="0057064B">
        <w:rPr>
          <w:szCs w:val="22"/>
        </w:rPr>
        <w:t xml:space="preserve">and </w:t>
      </w:r>
      <w:r>
        <w:rPr>
          <w:szCs w:val="22"/>
        </w:rPr>
        <w:t xml:space="preserve">a new </w:t>
      </w:r>
      <w:r w:rsidR="0038254D" w:rsidRPr="0057064B">
        <w:rPr>
          <w:szCs w:val="22"/>
        </w:rPr>
        <w:t xml:space="preserve">study item </w:t>
      </w:r>
      <w:r>
        <w:rPr>
          <w:szCs w:val="22"/>
        </w:rPr>
        <w:t>initiated in 3GPP</w:t>
      </w:r>
      <w:r w:rsidR="00C21188">
        <w:rPr>
          <w:szCs w:val="22"/>
        </w:rPr>
        <w:t xml:space="preserve"> </w:t>
      </w:r>
      <w:r w:rsidR="00C21188">
        <w:rPr>
          <w:szCs w:val="22"/>
        </w:rPr>
        <w:fldChar w:fldCharType="begin"/>
      </w:r>
      <w:r w:rsidR="00C21188">
        <w:rPr>
          <w:szCs w:val="22"/>
        </w:rPr>
        <w:instrText xml:space="preserve"> REF _Ref447001561 \n \h </w:instrText>
      </w:r>
      <w:r w:rsidR="00C21188">
        <w:rPr>
          <w:szCs w:val="22"/>
        </w:rPr>
      </w:r>
      <w:r w:rsidR="00C21188">
        <w:rPr>
          <w:szCs w:val="22"/>
        </w:rPr>
        <w:fldChar w:fldCharType="separate"/>
      </w:r>
      <w:r w:rsidR="00E356C5">
        <w:rPr>
          <w:szCs w:val="22"/>
        </w:rPr>
        <w:t>[2]</w:t>
      </w:r>
      <w:r w:rsidR="00C21188">
        <w:rPr>
          <w:szCs w:val="22"/>
        </w:rPr>
        <w:fldChar w:fldCharType="end"/>
      </w:r>
      <w:r w:rsidR="00602907">
        <w:rPr>
          <w:szCs w:val="22"/>
        </w:rPr>
        <w:t xml:space="preserve">. </w:t>
      </w:r>
      <w:r w:rsidR="0038254D" w:rsidRPr="0057064B">
        <w:rPr>
          <w:szCs w:val="22"/>
        </w:rPr>
        <w:t xml:space="preserve">In parallel, </w:t>
      </w:r>
      <w:r>
        <w:rPr>
          <w:szCs w:val="22"/>
        </w:rPr>
        <w:t xml:space="preserve">it has been decided </w:t>
      </w:r>
      <w:r w:rsidR="0038254D" w:rsidRPr="0057064B">
        <w:rPr>
          <w:szCs w:val="22"/>
        </w:rPr>
        <w:t>to evolve LTE</w:t>
      </w:r>
      <w:r w:rsidR="00B1716C">
        <w:rPr>
          <w:szCs w:val="22"/>
        </w:rPr>
        <w:t xml:space="preserve"> which can be confirmed</w:t>
      </w:r>
      <w:r w:rsidR="00BF5A81">
        <w:rPr>
          <w:szCs w:val="22"/>
        </w:rPr>
        <w:t xml:space="preserve"> </w:t>
      </w:r>
      <w:r w:rsidR="00B1716C">
        <w:rPr>
          <w:szCs w:val="22"/>
        </w:rPr>
        <w:t xml:space="preserve">by the </w:t>
      </w:r>
      <w:r w:rsidR="0038254D" w:rsidRPr="0057064B">
        <w:rPr>
          <w:szCs w:val="22"/>
        </w:rPr>
        <w:t>large number of enhancements proposed for Rel-14, at some extent associated to what have been identified as 5G use cases such as Vehicle-to-</w:t>
      </w:r>
      <w:r w:rsidR="00DF5EB5">
        <w:rPr>
          <w:szCs w:val="22"/>
        </w:rPr>
        <w:t>X</w:t>
      </w:r>
      <w:r w:rsidR="0038254D" w:rsidRPr="0057064B">
        <w:rPr>
          <w:szCs w:val="22"/>
        </w:rPr>
        <w:t xml:space="preserve"> (V2X) and Narrow Band Internet-of-Things (NB-</w:t>
      </w:r>
      <w:proofErr w:type="spellStart"/>
      <w:r w:rsidR="0038254D" w:rsidRPr="0057064B">
        <w:rPr>
          <w:szCs w:val="22"/>
        </w:rPr>
        <w:t>IoT</w:t>
      </w:r>
      <w:proofErr w:type="spellEnd"/>
      <w:r w:rsidR="0038254D" w:rsidRPr="0057064B">
        <w:rPr>
          <w:szCs w:val="22"/>
        </w:rPr>
        <w:t xml:space="preserve">). </w:t>
      </w:r>
      <w:r w:rsidR="00B344C8">
        <w:rPr>
          <w:szCs w:val="22"/>
        </w:rPr>
        <w:t xml:space="preserve">Furthermore, it has been decided at RAN-71 that the </w:t>
      </w:r>
      <w:r w:rsidR="00B344C8" w:rsidRPr="00B344C8">
        <w:rPr>
          <w:szCs w:val="22"/>
        </w:rPr>
        <w:t>3GPP submission to IMT 2020 (aka 5G) will include</w:t>
      </w:r>
      <w:r w:rsidR="00B344C8">
        <w:rPr>
          <w:szCs w:val="22"/>
        </w:rPr>
        <w:t xml:space="preserve"> the </w:t>
      </w:r>
      <w:r w:rsidR="00B344C8" w:rsidRPr="00B344C8">
        <w:rPr>
          <w:szCs w:val="22"/>
        </w:rPr>
        <w:t>“New Radio”</w:t>
      </w:r>
      <w:r w:rsidR="00B344C8">
        <w:rPr>
          <w:szCs w:val="22"/>
        </w:rPr>
        <w:t xml:space="preserve"> as well as </w:t>
      </w:r>
      <w:r w:rsidR="00B344C8" w:rsidRPr="00B344C8">
        <w:rPr>
          <w:szCs w:val="22"/>
        </w:rPr>
        <w:t>LTE</w:t>
      </w:r>
      <w:r w:rsidR="00B344C8">
        <w:rPr>
          <w:szCs w:val="22"/>
        </w:rPr>
        <w:t>.</w:t>
      </w:r>
      <w:r w:rsidR="00B344C8" w:rsidRPr="00B344C8">
        <w:rPr>
          <w:szCs w:val="22"/>
        </w:rPr>
        <w:t xml:space="preserve"> </w:t>
      </w:r>
      <w:r w:rsidR="00570A55">
        <w:rPr>
          <w:szCs w:val="22"/>
        </w:rPr>
        <w:t>Hence</w:t>
      </w:r>
      <w:r w:rsidR="0038254D" w:rsidRPr="0057064B">
        <w:rPr>
          <w:szCs w:val="22"/>
        </w:rPr>
        <w:t xml:space="preserve">, it </w:t>
      </w:r>
      <w:r w:rsidR="00570A55">
        <w:rPr>
          <w:szCs w:val="22"/>
        </w:rPr>
        <w:t xml:space="preserve">may be expected that </w:t>
      </w:r>
      <w:r w:rsidR="0038254D" w:rsidRPr="0057064B">
        <w:rPr>
          <w:szCs w:val="22"/>
        </w:rPr>
        <w:t xml:space="preserve">LTE </w:t>
      </w:r>
      <w:r w:rsidR="009E2225">
        <w:rPr>
          <w:szCs w:val="22"/>
        </w:rPr>
        <w:t>will</w:t>
      </w:r>
      <w:r w:rsidR="009E2225" w:rsidRPr="0057064B">
        <w:rPr>
          <w:szCs w:val="22"/>
        </w:rPr>
        <w:t xml:space="preserve"> </w:t>
      </w:r>
      <w:r w:rsidR="00570A55">
        <w:rPr>
          <w:szCs w:val="22"/>
        </w:rPr>
        <w:t xml:space="preserve">also fulfil </w:t>
      </w:r>
      <w:r w:rsidR="009C6B78">
        <w:rPr>
          <w:szCs w:val="22"/>
        </w:rPr>
        <w:t xml:space="preserve">a significant number of </w:t>
      </w:r>
      <w:r w:rsidR="0038254D" w:rsidRPr="0057064B">
        <w:rPr>
          <w:szCs w:val="22"/>
        </w:rPr>
        <w:t xml:space="preserve">the </w:t>
      </w:r>
      <w:r w:rsidR="00570A55">
        <w:rPr>
          <w:szCs w:val="22"/>
        </w:rPr>
        <w:t xml:space="preserve">IMT 2020 </w:t>
      </w:r>
      <w:r w:rsidR="0038254D" w:rsidRPr="0057064B">
        <w:rPr>
          <w:szCs w:val="22"/>
        </w:rPr>
        <w:t>requirements</w:t>
      </w:r>
      <w:r w:rsidR="00570A55">
        <w:rPr>
          <w:szCs w:val="22"/>
        </w:rPr>
        <w:t xml:space="preserve"> and </w:t>
      </w:r>
      <w:r w:rsidR="003A7F3C">
        <w:rPr>
          <w:szCs w:val="22"/>
        </w:rPr>
        <w:t>will</w:t>
      </w:r>
      <w:r w:rsidR="00570A55">
        <w:rPr>
          <w:szCs w:val="22"/>
        </w:rPr>
        <w:t xml:space="preserve"> </w:t>
      </w:r>
      <w:r w:rsidR="0038254D" w:rsidRPr="0057064B">
        <w:rPr>
          <w:szCs w:val="22"/>
        </w:rPr>
        <w:t xml:space="preserve">be </w:t>
      </w:r>
      <w:r w:rsidR="00570A55">
        <w:rPr>
          <w:szCs w:val="22"/>
        </w:rPr>
        <w:t xml:space="preserve">widely </w:t>
      </w:r>
      <w:r w:rsidR="0038254D" w:rsidRPr="0057064B">
        <w:rPr>
          <w:szCs w:val="22"/>
        </w:rPr>
        <w:t>deployed</w:t>
      </w:r>
      <w:r w:rsidR="00570A55">
        <w:rPr>
          <w:szCs w:val="22"/>
        </w:rPr>
        <w:t xml:space="preserve"> by the time that NR reaches the market</w:t>
      </w:r>
      <w:r w:rsidR="0061697C">
        <w:rPr>
          <w:szCs w:val="22"/>
        </w:rPr>
        <w:t>.</w:t>
      </w:r>
    </w:p>
    <w:p w14:paraId="1A2E58A3" w14:textId="5E9E443F" w:rsidR="0050342A" w:rsidRDefault="0061697C" w:rsidP="0050342A">
      <w:pPr>
        <w:tabs>
          <w:tab w:val="left" w:pos="6752"/>
        </w:tabs>
        <w:rPr>
          <w:rFonts w:eastAsia="Malgun Gothic" w:cs="Arial"/>
          <w:bCs/>
          <w:lang w:eastAsia="ko-KR"/>
        </w:rPr>
      </w:pPr>
      <w:r w:rsidRPr="00255E13">
        <w:rPr>
          <w:rFonts w:cs="Arial"/>
        </w:rPr>
        <w:t>In order to enable</w:t>
      </w:r>
      <w:r w:rsidR="0038254D" w:rsidRPr="00255E13">
        <w:rPr>
          <w:rFonts w:cs="Arial"/>
        </w:rPr>
        <w:t xml:space="preserve"> </w:t>
      </w:r>
      <w:r w:rsidRPr="00255E13">
        <w:rPr>
          <w:rFonts w:cs="Arial"/>
        </w:rPr>
        <w:t xml:space="preserve">mobile </w:t>
      </w:r>
      <w:r w:rsidR="0038254D" w:rsidRPr="00255E13">
        <w:rPr>
          <w:rFonts w:cs="Arial"/>
        </w:rPr>
        <w:t xml:space="preserve">operators to leverage as much as possible on </w:t>
      </w:r>
      <w:r w:rsidR="00976617" w:rsidRPr="00255E13">
        <w:rPr>
          <w:rFonts w:cs="Arial"/>
        </w:rPr>
        <w:t xml:space="preserve">their </w:t>
      </w:r>
      <w:r w:rsidR="0038254D" w:rsidRPr="00255E13">
        <w:rPr>
          <w:rFonts w:cs="Arial"/>
        </w:rPr>
        <w:t xml:space="preserve">previous investments </w:t>
      </w:r>
      <w:r w:rsidR="00570A55" w:rsidRPr="00255E13">
        <w:rPr>
          <w:rFonts w:cs="Arial"/>
        </w:rPr>
        <w:t xml:space="preserve">in LTE, </w:t>
      </w:r>
      <w:r w:rsidRPr="00255E13">
        <w:rPr>
          <w:rFonts w:cs="Arial"/>
        </w:rPr>
        <w:t xml:space="preserve">a tight integration between LTE and NR has been extensively studied in the research community </w:t>
      </w:r>
      <w:r w:rsidR="008E2C99" w:rsidRPr="00255E13">
        <w:rPr>
          <w:rFonts w:cs="Arial"/>
        </w:rPr>
        <w:fldChar w:fldCharType="begin"/>
      </w:r>
      <w:r w:rsidR="008E2C99" w:rsidRPr="00255E13">
        <w:rPr>
          <w:rFonts w:cs="Arial"/>
        </w:rPr>
        <w:instrText xml:space="preserve"> REF _Ref446848783 \n \h </w:instrText>
      </w:r>
      <w:r w:rsidR="003E0C14" w:rsidRPr="00255E13">
        <w:rPr>
          <w:rFonts w:cs="Arial"/>
        </w:rPr>
        <w:instrText xml:space="preserve"> \* MERGEFORMAT </w:instrText>
      </w:r>
      <w:r w:rsidR="008E2C99" w:rsidRPr="00255E13">
        <w:rPr>
          <w:rFonts w:cs="Arial"/>
        </w:rPr>
      </w:r>
      <w:r w:rsidR="008E2C99" w:rsidRPr="00255E13">
        <w:rPr>
          <w:rFonts w:cs="Arial"/>
        </w:rPr>
        <w:fldChar w:fldCharType="separate"/>
      </w:r>
      <w:r w:rsidR="00E356C5">
        <w:rPr>
          <w:rFonts w:cs="Arial"/>
        </w:rPr>
        <w:t>[3]</w:t>
      </w:r>
      <w:r w:rsidR="008E2C99" w:rsidRPr="00255E13">
        <w:rPr>
          <w:rFonts w:cs="Arial"/>
        </w:rPr>
        <w:fldChar w:fldCharType="end"/>
      </w:r>
      <w:r w:rsidR="002E6C0D" w:rsidRPr="00255E13">
        <w:rPr>
          <w:rFonts w:cs="Arial"/>
        </w:rPr>
        <w:t xml:space="preserve"> </w:t>
      </w:r>
      <w:r w:rsidR="004F68E8" w:rsidRPr="00255E13">
        <w:rPr>
          <w:rFonts w:cs="Arial"/>
        </w:rPr>
        <w:t xml:space="preserve">and </w:t>
      </w:r>
      <w:r w:rsidR="00570A55" w:rsidRPr="00255E13">
        <w:rPr>
          <w:rFonts w:cs="Arial"/>
        </w:rPr>
        <w:t>w</w:t>
      </w:r>
      <w:r w:rsidR="00E356C5">
        <w:rPr>
          <w:rFonts w:cs="Arial"/>
        </w:rPr>
        <w:t>as captured as a requirement in</w:t>
      </w:r>
      <w:r w:rsidR="00E356C5">
        <w:rPr>
          <w:szCs w:val="22"/>
        </w:rPr>
        <w:t xml:space="preserve"> </w:t>
      </w:r>
      <w:r w:rsidR="00E356C5">
        <w:rPr>
          <w:szCs w:val="22"/>
        </w:rPr>
        <w:fldChar w:fldCharType="begin"/>
      </w:r>
      <w:r w:rsidR="00E356C5">
        <w:rPr>
          <w:szCs w:val="22"/>
        </w:rPr>
        <w:instrText xml:space="preserve"> REF _Ref447315032 \r \h </w:instrText>
      </w:r>
      <w:r w:rsidR="00E356C5">
        <w:rPr>
          <w:szCs w:val="22"/>
        </w:rPr>
      </w:r>
      <w:r w:rsidR="00E356C5">
        <w:rPr>
          <w:szCs w:val="22"/>
        </w:rPr>
        <w:fldChar w:fldCharType="separate"/>
      </w:r>
      <w:r w:rsidR="00E356C5">
        <w:rPr>
          <w:szCs w:val="22"/>
        </w:rPr>
        <w:t>[1]</w:t>
      </w:r>
      <w:r w:rsidR="00E356C5">
        <w:rPr>
          <w:szCs w:val="22"/>
        </w:rPr>
        <w:fldChar w:fldCharType="end"/>
      </w:r>
      <w:r w:rsidR="00A23B1D" w:rsidRPr="00255E13">
        <w:rPr>
          <w:rFonts w:cs="Arial"/>
        </w:rPr>
        <w:t>:</w:t>
      </w:r>
      <w:r w:rsidR="00570A55" w:rsidRPr="00255E13">
        <w:rPr>
          <w:rFonts w:cs="Arial"/>
        </w:rPr>
        <w:t xml:space="preserve"> </w:t>
      </w:r>
      <w:r w:rsidR="00A23B1D" w:rsidRPr="00255E13">
        <w:rPr>
          <w:rFonts w:cs="Arial"/>
        </w:rPr>
        <w:t>“</w:t>
      </w:r>
      <w:r w:rsidR="00A23B1D" w:rsidRPr="00255E13">
        <w:rPr>
          <w:i/>
        </w:rPr>
        <w:t>The RAN architecture shall support tight interwork</w:t>
      </w:r>
      <w:r w:rsidR="00A23B1D" w:rsidRPr="00255E13">
        <w:rPr>
          <w:rFonts w:cs="Arial"/>
          <w:i/>
        </w:rPr>
        <w:t>ing between the new RAT and LTE</w:t>
      </w:r>
      <w:r w:rsidR="00A23B1D" w:rsidRPr="00255E13">
        <w:rPr>
          <w:i/>
        </w:rPr>
        <w:t xml:space="preserve"> </w:t>
      </w:r>
      <w:r w:rsidR="00A23B1D" w:rsidRPr="00255E13">
        <w:rPr>
          <w:rFonts w:cs="Arial"/>
          <w:i/>
        </w:rPr>
        <w:t>c</w:t>
      </w:r>
      <w:r w:rsidR="00A23B1D" w:rsidRPr="00255E13">
        <w:rPr>
          <w:i/>
        </w:rPr>
        <w:t xml:space="preserve">onsidering high performing inter-RAT mobility and aggregation of data flows via at least dual connectivity between LTE and new RAT. This shall be supported for both collocated and non-collocated site deployments.” </w:t>
      </w:r>
      <w:r w:rsidR="00A23B1D" w:rsidRPr="00255E13">
        <w:rPr>
          <w:rFonts w:cs="Arial"/>
        </w:rPr>
        <w:t xml:space="preserve">A corresponding </w:t>
      </w:r>
      <w:r w:rsidR="0038254D" w:rsidRPr="00255E13">
        <w:rPr>
          <w:rFonts w:cs="Arial"/>
        </w:rPr>
        <w:t xml:space="preserve">objective </w:t>
      </w:r>
      <w:r w:rsidR="00A23B1D" w:rsidRPr="00255E13">
        <w:rPr>
          <w:rFonts w:cs="Arial"/>
        </w:rPr>
        <w:t xml:space="preserve">was captured in </w:t>
      </w:r>
      <w:r w:rsidR="0038254D" w:rsidRPr="00255E13">
        <w:rPr>
          <w:rFonts w:cs="Arial"/>
        </w:rPr>
        <w:t xml:space="preserve">the study item on New Radio Access Technology </w:t>
      </w:r>
      <w:r w:rsidR="003E0C14" w:rsidRPr="00255E13">
        <w:rPr>
          <w:rFonts w:cs="Arial"/>
        </w:rPr>
        <w:fldChar w:fldCharType="begin"/>
      </w:r>
      <w:r w:rsidR="003E0C14" w:rsidRPr="00255E13">
        <w:rPr>
          <w:rFonts w:cs="Arial"/>
        </w:rPr>
        <w:instrText xml:space="preserve"> REF _Ref446848631 \n \h </w:instrText>
      </w:r>
      <w:r w:rsidRPr="00255E13">
        <w:rPr>
          <w:rFonts w:cs="Arial"/>
        </w:rPr>
        <w:instrText xml:space="preserve"> \* MERGEFORMAT </w:instrText>
      </w:r>
      <w:r w:rsidR="003E0C14" w:rsidRPr="00255E13">
        <w:rPr>
          <w:rFonts w:cs="Arial"/>
        </w:rPr>
      </w:r>
      <w:r w:rsidR="003E0C14" w:rsidRPr="00255E13">
        <w:rPr>
          <w:rFonts w:cs="Arial"/>
        </w:rPr>
        <w:fldChar w:fldCharType="separate"/>
      </w:r>
      <w:r w:rsidR="00E356C5">
        <w:rPr>
          <w:rFonts w:cs="Arial"/>
        </w:rPr>
        <w:t>[2]</w:t>
      </w:r>
      <w:r w:rsidR="003E0C14" w:rsidRPr="00255E13">
        <w:rPr>
          <w:rFonts w:cs="Arial"/>
        </w:rPr>
        <w:fldChar w:fldCharType="end"/>
      </w:r>
      <w:r w:rsidR="0038254D" w:rsidRPr="00255E13">
        <w:rPr>
          <w:rFonts w:eastAsia="Malgun Gothic" w:cs="Arial"/>
          <w:bCs/>
          <w:lang w:eastAsia="ko-KR"/>
        </w:rPr>
        <w:t>.</w:t>
      </w:r>
      <w:r w:rsidR="0050342A" w:rsidRPr="00255E13">
        <w:rPr>
          <w:rFonts w:eastAsia="Malgun Gothic" w:cs="Arial"/>
          <w:bCs/>
          <w:lang w:eastAsia="ko-KR"/>
        </w:rPr>
        <w:t xml:space="preserve"> </w:t>
      </w:r>
    </w:p>
    <w:p w14:paraId="710E3D58" w14:textId="5845FA5D" w:rsidR="00475D5C" w:rsidRPr="00DF5EB5" w:rsidRDefault="0038254D" w:rsidP="00DF5EB5">
      <w:pPr>
        <w:tabs>
          <w:tab w:val="left" w:pos="6752"/>
        </w:tabs>
        <w:rPr>
          <w:rFonts w:cs="Arial"/>
          <w:szCs w:val="22"/>
        </w:rPr>
      </w:pPr>
      <w:r w:rsidRPr="0057064B">
        <w:rPr>
          <w:rFonts w:cs="Arial"/>
          <w:szCs w:val="22"/>
        </w:rPr>
        <w:t xml:space="preserve">This contribution </w:t>
      </w:r>
      <w:r w:rsidR="00441134">
        <w:rPr>
          <w:rFonts w:cs="Arial"/>
          <w:szCs w:val="22"/>
        </w:rPr>
        <w:t xml:space="preserve">discusses means to </w:t>
      </w:r>
      <w:r w:rsidR="00066097">
        <w:rPr>
          <w:rFonts w:cs="Arial"/>
          <w:szCs w:val="22"/>
        </w:rPr>
        <w:t xml:space="preserve">design the </w:t>
      </w:r>
      <w:r w:rsidR="0050342A">
        <w:rPr>
          <w:rFonts w:cs="Arial"/>
          <w:szCs w:val="22"/>
        </w:rPr>
        <w:t>UP</w:t>
      </w:r>
      <w:r w:rsidR="00066097">
        <w:rPr>
          <w:rFonts w:cs="Arial"/>
          <w:szCs w:val="22"/>
        </w:rPr>
        <w:t xml:space="preserve"> to </w:t>
      </w:r>
      <w:r w:rsidR="00441134">
        <w:rPr>
          <w:rFonts w:cs="Arial"/>
          <w:szCs w:val="22"/>
        </w:rPr>
        <w:t xml:space="preserve">achieve </w:t>
      </w:r>
      <w:r w:rsidRPr="0057064B">
        <w:rPr>
          <w:rFonts w:cs="Arial"/>
          <w:b/>
          <w:i/>
          <w:szCs w:val="22"/>
        </w:rPr>
        <w:t>high performing inter-RAT mobility</w:t>
      </w:r>
      <w:r w:rsidRPr="0057064B">
        <w:rPr>
          <w:rFonts w:cs="Arial"/>
          <w:szCs w:val="22"/>
        </w:rPr>
        <w:t xml:space="preserve"> and </w:t>
      </w:r>
      <w:r w:rsidRPr="0057064B">
        <w:rPr>
          <w:rFonts w:cs="Arial"/>
          <w:b/>
          <w:i/>
          <w:szCs w:val="22"/>
        </w:rPr>
        <w:t>multi-RAT aggregation</w:t>
      </w:r>
      <w:r w:rsidR="0061724D" w:rsidRPr="0061724D">
        <w:rPr>
          <w:rFonts w:cs="Arial"/>
          <w:szCs w:val="22"/>
        </w:rPr>
        <w:t xml:space="preserve"> between </w:t>
      </w:r>
      <w:r w:rsidR="0061724D" w:rsidRPr="00EE7299">
        <w:rPr>
          <w:rFonts w:cs="Arial"/>
          <w:szCs w:val="22"/>
        </w:rPr>
        <w:t>LTE</w:t>
      </w:r>
      <w:r w:rsidR="00066097">
        <w:rPr>
          <w:rFonts w:cs="Arial"/>
          <w:szCs w:val="22"/>
        </w:rPr>
        <w:t xml:space="preserve"> and NR</w:t>
      </w:r>
      <w:r w:rsidR="00496349">
        <w:rPr>
          <w:rFonts w:cs="Arial"/>
          <w:szCs w:val="22"/>
        </w:rPr>
        <w:t>.</w:t>
      </w:r>
    </w:p>
    <w:p w14:paraId="1C3C6195" w14:textId="421CB654" w:rsidR="007325A6" w:rsidRDefault="00625808" w:rsidP="007325A6">
      <w:pPr>
        <w:pStyle w:val="Heading1"/>
      </w:pPr>
      <w:r>
        <w:t>Discussion</w:t>
      </w:r>
    </w:p>
    <w:p w14:paraId="19B653B3" w14:textId="5E81D4F2" w:rsidR="00846C88" w:rsidRPr="00E35D9F" w:rsidRDefault="00846C88" w:rsidP="00846C88">
      <w:pPr>
        <w:pStyle w:val="Heading2"/>
      </w:pPr>
      <w:r>
        <w:t>Motivation for a tight integration of LTE and NR</w:t>
      </w:r>
    </w:p>
    <w:p w14:paraId="46AE7235" w14:textId="671965D6" w:rsidR="00066097" w:rsidRDefault="00066097" w:rsidP="00846C88">
      <w:pPr>
        <w:pStyle w:val="Paragraph"/>
        <w:rPr>
          <w:sz w:val="20"/>
          <w:szCs w:val="22"/>
          <w:lang w:val="en-US"/>
        </w:rPr>
      </w:pPr>
      <w:r>
        <w:rPr>
          <w:sz w:val="20"/>
          <w:szCs w:val="22"/>
          <w:lang w:val="en-US"/>
        </w:rPr>
        <w:t xml:space="preserve">In early deployments, </w:t>
      </w:r>
      <w:r w:rsidRPr="0057064B">
        <w:rPr>
          <w:sz w:val="20"/>
          <w:szCs w:val="22"/>
          <w:lang w:val="en-US"/>
        </w:rPr>
        <w:t xml:space="preserve">full </w:t>
      </w:r>
      <w:r>
        <w:rPr>
          <w:sz w:val="20"/>
          <w:szCs w:val="22"/>
          <w:lang w:val="en-US"/>
        </w:rPr>
        <w:t xml:space="preserve">NR </w:t>
      </w:r>
      <w:r w:rsidRPr="0057064B">
        <w:rPr>
          <w:sz w:val="20"/>
          <w:szCs w:val="22"/>
          <w:lang w:val="en-US"/>
        </w:rPr>
        <w:t>coverage might not be available</w:t>
      </w:r>
      <w:r>
        <w:rPr>
          <w:sz w:val="20"/>
          <w:szCs w:val="22"/>
          <w:lang w:val="en-US"/>
        </w:rPr>
        <w:t xml:space="preserve"> so that it will be quite common to have areas with wide LTE coverage and coverage islands of NR. It is also expected that in the 5G time frame, </w:t>
      </w:r>
      <w:r w:rsidRPr="00311F20">
        <w:rPr>
          <w:sz w:val="20"/>
          <w:szCs w:val="22"/>
          <w:lang w:val="en-US"/>
        </w:rPr>
        <w:t>there will be a significant amount of LTE deployments occupying most of the available spectrum below 6 GHz.</w:t>
      </w:r>
      <w:r>
        <w:rPr>
          <w:sz w:val="20"/>
          <w:szCs w:val="22"/>
          <w:lang w:val="en-US"/>
        </w:rPr>
        <w:t xml:space="preserve"> </w:t>
      </w:r>
      <w:r w:rsidRPr="00311F20">
        <w:rPr>
          <w:sz w:val="20"/>
          <w:szCs w:val="22"/>
          <w:lang w:val="en-US"/>
        </w:rPr>
        <w:t>For this reason it is expected that initial 5G deployment would only be able to utilize a limited</w:t>
      </w:r>
      <w:r>
        <w:rPr>
          <w:sz w:val="20"/>
          <w:szCs w:val="22"/>
          <w:lang w:val="en-US"/>
        </w:rPr>
        <w:t xml:space="preserve"> amount of spectrum below 6 GHz. Due to the limited spectrum below 6 GHz, NR will also </w:t>
      </w:r>
      <w:r w:rsidRPr="00311F20">
        <w:rPr>
          <w:sz w:val="20"/>
          <w:szCs w:val="22"/>
          <w:lang w:val="en-US"/>
        </w:rPr>
        <w:t>be designed to support spectrum above 6 GHz</w:t>
      </w:r>
      <w:r>
        <w:rPr>
          <w:sz w:val="20"/>
          <w:szCs w:val="22"/>
          <w:lang w:val="en-US"/>
        </w:rPr>
        <w:t xml:space="preserve"> where, for some of the bands, propagation is known to be more challenging. </w:t>
      </w:r>
      <w:r w:rsidRPr="00311F20">
        <w:rPr>
          <w:sz w:val="20"/>
          <w:szCs w:val="22"/>
          <w:lang w:val="en-US"/>
        </w:rPr>
        <w:t>The latter implies that NR deployments will</w:t>
      </w:r>
      <w:r w:rsidRPr="00F5550F">
        <w:rPr>
          <w:sz w:val="20"/>
          <w:lang w:val="en-US"/>
        </w:rPr>
        <w:t>, at least initially, provide hot spot coverage with reduced penetration and coverage extensions.</w:t>
      </w:r>
      <w:r w:rsidR="00F5550F" w:rsidRPr="00F5550F">
        <w:rPr>
          <w:sz w:val="20"/>
          <w:lang w:val="en-US"/>
        </w:rPr>
        <w:t xml:space="preserve"> Scenarios are shown in </w:t>
      </w:r>
      <w:r w:rsidR="00F5550F" w:rsidRPr="00F5550F">
        <w:rPr>
          <w:sz w:val="20"/>
          <w:lang w:val="en-US"/>
        </w:rPr>
        <w:fldChar w:fldCharType="begin"/>
      </w:r>
      <w:r w:rsidR="00F5550F" w:rsidRPr="00F5550F">
        <w:rPr>
          <w:sz w:val="20"/>
          <w:lang w:val="en-US"/>
        </w:rPr>
        <w:instrText xml:space="preserve"> REF _Ref447287132 \h </w:instrText>
      </w:r>
      <w:r w:rsidR="00F5550F">
        <w:rPr>
          <w:sz w:val="20"/>
          <w:lang w:val="en-US"/>
        </w:rPr>
        <w:instrText xml:space="preserve"> \* MERGEFORMAT </w:instrText>
      </w:r>
      <w:r w:rsidR="00F5550F" w:rsidRPr="00F5550F">
        <w:rPr>
          <w:sz w:val="20"/>
          <w:lang w:val="en-US"/>
        </w:rPr>
      </w:r>
      <w:r w:rsidR="00F5550F" w:rsidRPr="00F5550F">
        <w:rPr>
          <w:sz w:val="20"/>
          <w:lang w:val="en-US"/>
        </w:rPr>
        <w:fldChar w:fldCharType="separate"/>
      </w:r>
      <w:r w:rsidR="00687C0B" w:rsidRPr="00687C0B">
        <w:rPr>
          <w:sz w:val="20"/>
        </w:rPr>
        <w:t xml:space="preserve">Figure </w:t>
      </w:r>
      <w:r w:rsidR="00687C0B" w:rsidRPr="00687C0B">
        <w:rPr>
          <w:noProof/>
          <w:sz w:val="20"/>
        </w:rPr>
        <w:t>1</w:t>
      </w:r>
      <w:r w:rsidR="00F5550F" w:rsidRPr="00F5550F">
        <w:rPr>
          <w:sz w:val="20"/>
          <w:lang w:val="en-US"/>
        </w:rPr>
        <w:fldChar w:fldCharType="end"/>
      </w:r>
      <w:r w:rsidR="00F5550F" w:rsidRPr="00F5550F">
        <w:rPr>
          <w:sz w:val="20"/>
          <w:lang w:val="en-US"/>
        </w:rPr>
        <w:t>.</w:t>
      </w:r>
      <w:r w:rsidR="00F5550F">
        <w:rPr>
          <w:sz w:val="20"/>
          <w:szCs w:val="22"/>
          <w:lang w:val="en-US"/>
        </w:rPr>
        <w:t xml:space="preserve"> </w:t>
      </w:r>
    </w:p>
    <w:p w14:paraId="4DF51B49" w14:textId="39770C86" w:rsidR="00066097" w:rsidRDefault="00255E13" w:rsidP="00066097">
      <w:pPr>
        <w:pStyle w:val="Paragraph"/>
        <w:keepNext/>
        <w:jc w:val="center"/>
      </w:pPr>
      <w:r>
        <w:rPr>
          <w:noProof/>
          <w:sz w:val="20"/>
          <w:szCs w:val="22"/>
          <w:lang w:val="en-US" w:eastAsia="zh-CN"/>
        </w:rPr>
        <w:lastRenderedPageBreak/>
        <w:drawing>
          <wp:inline distT="0" distB="0" distL="0" distR="0" wp14:anchorId="2728444D" wp14:editId="556B024B">
            <wp:extent cx="6072998" cy="2543054"/>
            <wp:effectExtent l="0" t="0" r="444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2998" cy="2543054"/>
                    </a:xfrm>
                    <a:prstGeom prst="rect">
                      <a:avLst/>
                    </a:prstGeom>
                    <a:noFill/>
                  </pic:spPr>
                </pic:pic>
              </a:graphicData>
            </a:graphic>
          </wp:inline>
        </w:drawing>
      </w:r>
    </w:p>
    <w:p w14:paraId="0926F113" w14:textId="08EFBE9F" w:rsidR="00066097" w:rsidRDefault="00066097" w:rsidP="00744A9E">
      <w:pPr>
        <w:pStyle w:val="Caption"/>
        <w:rPr>
          <w:szCs w:val="22"/>
          <w:lang w:val="en-US"/>
        </w:rPr>
      </w:pPr>
      <w:bookmarkStart w:id="3" w:name="_Ref447287132"/>
      <w:r>
        <w:t xml:space="preserve">Figure </w:t>
      </w:r>
      <w:r>
        <w:fldChar w:fldCharType="begin"/>
      </w:r>
      <w:r>
        <w:instrText xml:space="preserve"> SEQ Figure \* ARABIC </w:instrText>
      </w:r>
      <w:r>
        <w:fldChar w:fldCharType="separate"/>
      </w:r>
      <w:r w:rsidR="00687C0B">
        <w:rPr>
          <w:noProof/>
        </w:rPr>
        <w:t>1</w:t>
      </w:r>
      <w:r>
        <w:fldChar w:fldCharType="end"/>
      </w:r>
      <w:bookmarkEnd w:id="3"/>
      <w:r>
        <w:t xml:space="preserve"> Typical coverage scenarios </w:t>
      </w:r>
      <w:r>
        <w:rPr>
          <w:noProof/>
        </w:rPr>
        <w:t>for LTE and NR</w:t>
      </w:r>
    </w:p>
    <w:p w14:paraId="7CB62D49" w14:textId="361D0226" w:rsidR="009F7C60" w:rsidRDefault="009F7C60" w:rsidP="00066097">
      <w:pPr>
        <w:pStyle w:val="Paragraph"/>
        <w:rPr>
          <w:sz w:val="20"/>
          <w:szCs w:val="22"/>
          <w:lang w:val="en-US"/>
        </w:rPr>
      </w:pPr>
      <w:r>
        <w:rPr>
          <w:sz w:val="20"/>
          <w:szCs w:val="22"/>
          <w:lang w:val="en-US"/>
        </w:rPr>
        <w:t>NR densification might continuously happen however, in order to leverage previous LTE investments operators should have the flexibility to define their spectrum migration strategy (e.g. taking into account the density of NR and/or LTE subscribers)</w:t>
      </w:r>
      <w:r w:rsidR="0051612F">
        <w:rPr>
          <w:sz w:val="20"/>
          <w:szCs w:val="22"/>
          <w:lang w:val="en-US"/>
        </w:rPr>
        <w:t xml:space="preserve"> </w:t>
      </w:r>
      <w:r>
        <w:rPr>
          <w:sz w:val="20"/>
          <w:szCs w:val="22"/>
          <w:lang w:val="en-US"/>
        </w:rPr>
        <w:t>and, at the same time, to efficiently use the radio resources in both RATs e.g. the frequency bands allocated to NR and LTE.</w:t>
      </w:r>
    </w:p>
    <w:p w14:paraId="3B890C48" w14:textId="77A060A7" w:rsidR="00FD69CA" w:rsidRPr="00FD69CA" w:rsidRDefault="00FD69CA" w:rsidP="00066097">
      <w:pPr>
        <w:pStyle w:val="Heading3"/>
      </w:pPr>
      <w:r>
        <w:t xml:space="preserve">High performing inter-RAT </w:t>
      </w:r>
      <w:r w:rsidR="007C14B0">
        <w:t>mobility</w:t>
      </w:r>
    </w:p>
    <w:p w14:paraId="0F3A0964" w14:textId="59F219F5" w:rsidR="007C14B0" w:rsidRPr="0057064B" w:rsidRDefault="00063B04" w:rsidP="007C14B0">
      <w:pPr>
        <w:pStyle w:val="Paragraph"/>
        <w:rPr>
          <w:sz w:val="20"/>
          <w:szCs w:val="22"/>
          <w:lang w:val="en-US"/>
        </w:rPr>
      </w:pPr>
      <w:r>
        <w:rPr>
          <w:sz w:val="20"/>
          <w:szCs w:val="22"/>
          <w:lang w:val="en-US"/>
        </w:rPr>
        <w:t xml:space="preserve">In order to efficiently </w:t>
      </w:r>
      <w:r w:rsidR="007C14B0">
        <w:rPr>
          <w:sz w:val="20"/>
          <w:szCs w:val="22"/>
          <w:lang w:val="en-US"/>
        </w:rPr>
        <w:t>enable UE</w:t>
      </w:r>
      <w:r w:rsidR="004E07D5">
        <w:rPr>
          <w:sz w:val="20"/>
          <w:szCs w:val="22"/>
          <w:lang w:val="en-US"/>
        </w:rPr>
        <w:t>s</w:t>
      </w:r>
      <w:r w:rsidR="007C14B0">
        <w:rPr>
          <w:sz w:val="20"/>
          <w:szCs w:val="22"/>
          <w:lang w:val="en-US"/>
        </w:rPr>
        <w:t xml:space="preserve"> to switch between coverage layers </w:t>
      </w:r>
      <w:r w:rsidR="007C14B0">
        <w:rPr>
          <w:b/>
          <w:sz w:val="20"/>
          <w:szCs w:val="22"/>
          <w:lang w:val="en-US"/>
        </w:rPr>
        <w:t>h</w:t>
      </w:r>
      <w:r w:rsidR="007C14B0" w:rsidRPr="00BE7AA6">
        <w:rPr>
          <w:b/>
          <w:sz w:val="20"/>
          <w:szCs w:val="22"/>
          <w:lang w:val="en-US"/>
        </w:rPr>
        <w:t xml:space="preserve">igh performing inter-RAT mobility </w:t>
      </w:r>
      <w:r w:rsidR="004E07D5">
        <w:rPr>
          <w:b/>
          <w:sz w:val="20"/>
          <w:szCs w:val="22"/>
          <w:lang w:val="en-US"/>
        </w:rPr>
        <w:t xml:space="preserve">solutions </w:t>
      </w:r>
      <w:r w:rsidR="007C14B0" w:rsidRPr="00BE7AA6">
        <w:rPr>
          <w:b/>
          <w:sz w:val="20"/>
          <w:szCs w:val="22"/>
          <w:lang w:val="en-US"/>
        </w:rPr>
        <w:t>between NR and LTE</w:t>
      </w:r>
      <w:r w:rsidR="007C14B0" w:rsidRPr="0057064B">
        <w:rPr>
          <w:sz w:val="20"/>
          <w:szCs w:val="22"/>
          <w:lang w:val="en-US"/>
        </w:rPr>
        <w:t xml:space="preserve"> </w:t>
      </w:r>
      <w:r w:rsidR="007C14B0">
        <w:rPr>
          <w:sz w:val="20"/>
          <w:szCs w:val="22"/>
          <w:lang w:val="en-US"/>
        </w:rPr>
        <w:t>should be designed</w:t>
      </w:r>
      <w:r w:rsidR="004E07D5">
        <w:rPr>
          <w:sz w:val="20"/>
          <w:szCs w:val="22"/>
          <w:lang w:val="en-US"/>
        </w:rPr>
        <w:t>.</w:t>
      </w:r>
      <w:r w:rsidR="00873E1E">
        <w:rPr>
          <w:sz w:val="20"/>
          <w:szCs w:val="22"/>
          <w:lang w:val="en-US"/>
        </w:rPr>
        <w:t xml:space="preserve"> That is particular important in scenarios with coverage islands where an active UE leaves the NR coverage layer and enters LTE coverage or in scenarios with overlapping coverage layers but with NR deployed in very high frequencies where coverage is more spotty. T</w:t>
      </w:r>
      <w:r w:rsidR="004E07D5">
        <w:rPr>
          <w:sz w:val="20"/>
          <w:szCs w:val="22"/>
          <w:lang w:val="en-US"/>
        </w:rPr>
        <w:t xml:space="preserve">hese solutions should </w:t>
      </w:r>
      <w:r w:rsidR="007C14B0">
        <w:rPr>
          <w:sz w:val="20"/>
          <w:szCs w:val="22"/>
          <w:lang w:val="en-US"/>
        </w:rPr>
        <w:t xml:space="preserve">target the </w:t>
      </w:r>
      <w:r w:rsidR="007C14B0" w:rsidRPr="0057064B">
        <w:rPr>
          <w:sz w:val="20"/>
          <w:szCs w:val="22"/>
          <w:lang w:val="en-US"/>
        </w:rPr>
        <w:t>following:</w:t>
      </w:r>
    </w:p>
    <w:p w14:paraId="4086EF09" w14:textId="0BBA0EAB" w:rsidR="007C14B0" w:rsidRPr="0057064B" w:rsidRDefault="007C14B0" w:rsidP="007C14B0">
      <w:pPr>
        <w:pStyle w:val="Paragraph"/>
        <w:numPr>
          <w:ilvl w:val="0"/>
          <w:numId w:val="51"/>
        </w:numPr>
        <w:rPr>
          <w:sz w:val="20"/>
          <w:szCs w:val="22"/>
          <w:lang w:val="en-US"/>
        </w:rPr>
      </w:pPr>
      <w:r>
        <w:rPr>
          <w:sz w:val="20"/>
          <w:szCs w:val="22"/>
          <w:lang w:val="en-US"/>
        </w:rPr>
        <w:t xml:space="preserve">High robustness against </w:t>
      </w:r>
      <w:r w:rsidRPr="0057064B">
        <w:rPr>
          <w:sz w:val="20"/>
          <w:szCs w:val="22"/>
          <w:lang w:val="en-US"/>
        </w:rPr>
        <w:t>packet losses</w:t>
      </w:r>
      <w:r>
        <w:rPr>
          <w:sz w:val="20"/>
          <w:szCs w:val="22"/>
          <w:lang w:val="en-US"/>
        </w:rPr>
        <w:t xml:space="preserve"> (lossless), handover failures and </w:t>
      </w:r>
      <w:r w:rsidR="00880248">
        <w:rPr>
          <w:sz w:val="20"/>
          <w:szCs w:val="22"/>
          <w:lang w:val="en-US"/>
        </w:rPr>
        <w:t xml:space="preserve">radio link failures </w:t>
      </w:r>
      <w:r w:rsidRPr="0057064B">
        <w:rPr>
          <w:sz w:val="20"/>
          <w:szCs w:val="22"/>
          <w:lang w:val="en-US"/>
        </w:rPr>
        <w:t>;</w:t>
      </w:r>
    </w:p>
    <w:p w14:paraId="138CFE78" w14:textId="77777777" w:rsidR="007C14B0" w:rsidRPr="00EA243E" w:rsidRDefault="007C14B0" w:rsidP="007C14B0">
      <w:pPr>
        <w:pStyle w:val="Paragraph"/>
        <w:numPr>
          <w:ilvl w:val="0"/>
          <w:numId w:val="51"/>
        </w:numPr>
        <w:rPr>
          <w:sz w:val="20"/>
          <w:szCs w:val="22"/>
          <w:lang w:val="en-US"/>
        </w:rPr>
      </w:pPr>
      <w:r>
        <w:rPr>
          <w:sz w:val="20"/>
          <w:szCs w:val="22"/>
          <w:lang w:val="en-US"/>
        </w:rPr>
        <w:t xml:space="preserve">Low </w:t>
      </w:r>
      <w:r w:rsidRPr="0057064B">
        <w:rPr>
          <w:sz w:val="20"/>
          <w:szCs w:val="22"/>
          <w:lang w:val="en-US"/>
        </w:rPr>
        <w:t>interruption delays</w:t>
      </w:r>
      <w:r>
        <w:rPr>
          <w:sz w:val="20"/>
          <w:szCs w:val="22"/>
          <w:lang w:val="en-US"/>
        </w:rPr>
        <w:t xml:space="preserve"> (seamless)</w:t>
      </w:r>
      <w:r w:rsidRPr="0057064B">
        <w:rPr>
          <w:sz w:val="20"/>
          <w:szCs w:val="22"/>
          <w:lang w:val="en-US"/>
        </w:rPr>
        <w:t>;</w:t>
      </w:r>
    </w:p>
    <w:p w14:paraId="230AFF09" w14:textId="77777777" w:rsidR="007C14B0" w:rsidRPr="0057064B" w:rsidRDefault="007C14B0" w:rsidP="007C14B0">
      <w:pPr>
        <w:pStyle w:val="Paragraph"/>
        <w:numPr>
          <w:ilvl w:val="0"/>
          <w:numId w:val="51"/>
        </w:numPr>
        <w:rPr>
          <w:sz w:val="20"/>
          <w:szCs w:val="22"/>
          <w:lang w:val="en-US"/>
        </w:rPr>
      </w:pPr>
      <w:r>
        <w:rPr>
          <w:sz w:val="20"/>
          <w:szCs w:val="22"/>
          <w:lang w:val="en-US"/>
        </w:rPr>
        <w:t xml:space="preserve">Low </w:t>
      </w:r>
      <w:r w:rsidRPr="0057064B">
        <w:rPr>
          <w:sz w:val="20"/>
          <w:szCs w:val="22"/>
          <w:lang w:val="en-US"/>
        </w:rPr>
        <w:t>signaling</w:t>
      </w:r>
      <w:r>
        <w:rPr>
          <w:sz w:val="20"/>
          <w:szCs w:val="22"/>
          <w:lang w:val="en-US"/>
        </w:rPr>
        <w:t xml:space="preserve"> overhead</w:t>
      </w:r>
      <w:r w:rsidRPr="0057064B">
        <w:rPr>
          <w:sz w:val="20"/>
          <w:szCs w:val="22"/>
          <w:lang w:val="en-US"/>
        </w:rPr>
        <w:t>:</w:t>
      </w:r>
    </w:p>
    <w:p w14:paraId="77E6D402" w14:textId="77777777" w:rsidR="007C14B0" w:rsidRPr="0057064B" w:rsidRDefault="007C14B0" w:rsidP="007C14B0">
      <w:pPr>
        <w:pStyle w:val="Paragraph"/>
        <w:numPr>
          <w:ilvl w:val="1"/>
          <w:numId w:val="51"/>
        </w:numPr>
        <w:rPr>
          <w:sz w:val="20"/>
          <w:szCs w:val="22"/>
          <w:lang w:val="en-US"/>
        </w:rPr>
      </w:pPr>
      <w:r w:rsidRPr="0057064B">
        <w:rPr>
          <w:sz w:val="20"/>
          <w:szCs w:val="22"/>
          <w:lang w:val="en-US"/>
        </w:rPr>
        <w:t>a) Between the UE and both radio interfa</w:t>
      </w:r>
      <w:r>
        <w:rPr>
          <w:sz w:val="20"/>
          <w:szCs w:val="22"/>
          <w:lang w:val="en-US"/>
        </w:rPr>
        <w:t>ces i.e. LTE and NR</w:t>
      </w:r>
      <w:r w:rsidRPr="0057064B">
        <w:rPr>
          <w:sz w:val="20"/>
          <w:szCs w:val="22"/>
          <w:lang w:val="en-US"/>
        </w:rPr>
        <w:t>;</w:t>
      </w:r>
    </w:p>
    <w:p w14:paraId="65884244" w14:textId="1522FA11" w:rsidR="00873E1E" w:rsidRPr="00873E1E" w:rsidRDefault="007C14B0" w:rsidP="001D49D4">
      <w:pPr>
        <w:pStyle w:val="Paragraph"/>
        <w:numPr>
          <w:ilvl w:val="1"/>
          <w:numId w:val="51"/>
        </w:numPr>
        <w:rPr>
          <w:sz w:val="20"/>
          <w:szCs w:val="22"/>
          <w:lang w:val="en-US"/>
        </w:rPr>
      </w:pPr>
      <w:r w:rsidRPr="0057064B">
        <w:rPr>
          <w:sz w:val="20"/>
          <w:szCs w:val="22"/>
          <w:lang w:val="en-US"/>
        </w:rPr>
        <w:t>b) Between CN and RAN nodes of NR and LTE.</w:t>
      </w:r>
    </w:p>
    <w:p w14:paraId="2D78EA24" w14:textId="23E784A7" w:rsidR="001D49D4" w:rsidRDefault="001D49D4" w:rsidP="001D49D4">
      <w:pPr>
        <w:rPr>
          <w:szCs w:val="22"/>
          <w:lang w:val="en-US"/>
        </w:rPr>
      </w:pPr>
      <w:r w:rsidRPr="0057064B">
        <w:rPr>
          <w:szCs w:val="22"/>
          <w:lang w:val="en-US"/>
        </w:rPr>
        <w:t xml:space="preserve">Inter-RAT mobility for active UEs is currently supported between LTE and </w:t>
      </w:r>
      <w:r>
        <w:rPr>
          <w:szCs w:val="22"/>
          <w:lang w:val="en-US"/>
        </w:rPr>
        <w:t xml:space="preserve">UMTS </w:t>
      </w:r>
      <w:r>
        <w:rPr>
          <w:szCs w:val="22"/>
          <w:lang w:val="en-US"/>
        </w:rPr>
        <w:fldChar w:fldCharType="begin"/>
      </w:r>
      <w:r>
        <w:rPr>
          <w:szCs w:val="22"/>
          <w:lang w:val="en-US"/>
        </w:rPr>
        <w:instrText xml:space="preserve"> REF _Ref447003550 \n \h </w:instrText>
      </w:r>
      <w:r>
        <w:rPr>
          <w:szCs w:val="22"/>
          <w:lang w:val="en-US"/>
        </w:rPr>
      </w:r>
      <w:r>
        <w:rPr>
          <w:szCs w:val="22"/>
          <w:lang w:val="en-US"/>
        </w:rPr>
        <w:fldChar w:fldCharType="separate"/>
      </w:r>
      <w:r w:rsidR="00E356C5">
        <w:rPr>
          <w:szCs w:val="22"/>
          <w:lang w:val="en-US"/>
        </w:rPr>
        <w:t>[4]</w:t>
      </w:r>
      <w:r>
        <w:rPr>
          <w:szCs w:val="22"/>
          <w:lang w:val="en-US"/>
        </w:rPr>
        <w:fldChar w:fldCharType="end"/>
      </w:r>
      <w:r>
        <w:rPr>
          <w:szCs w:val="22"/>
          <w:lang w:val="en-US"/>
        </w:rPr>
        <w:t>. However, a handover from one RAT to another requires the full re-establishment of the UP protocol stack in the other RAT. Intra-LTE mobility, on the other hand, has the advantage of benefiting from existing LTE-PDCP functions to handle lossless mobility (</w:t>
      </w:r>
      <w:r w:rsidR="00880248">
        <w:rPr>
          <w:szCs w:val="22"/>
          <w:lang w:val="en-US"/>
        </w:rPr>
        <w:t xml:space="preserve">through data forwarding and </w:t>
      </w:r>
      <w:r>
        <w:t>r</w:t>
      </w:r>
      <w:r w:rsidRPr="005132EF">
        <w:t>etransmission of PDCP SDUs</w:t>
      </w:r>
      <w:r>
        <w:t xml:space="preserve"> during handovers) and the possibility to have the </w:t>
      </w:r>
      <w:r>
        <w:rPr>
          <w:szCs w:val="22"/>
          <w:lang w:val="en-US"/>
        </w:rPr>
        <w:t xml:space="preserve">PDCP context being continued which might reduce the interruption delays. </w:t>
      </w:r>
      <w:r w:rsidR="00873E1E">
        <w:rPr>
          <w:szCs w:val="22"/>
          <w:lang w:val="en-US"/>
        </w:rPr>
        <w:t xml:space="preserve">Intra-LTE mobility also benefits from the fact that a common Core Network connection (for both UP and CP, S1-C and S1-U) exists so that </w:t>
      </w:r>
      <w:r>
        <w:rPr>
          <w:szCs w:val="22"/>
          <w:lang w:val="en-US"/>
        </w:rPr>
        <w:t xml:space="preserve">intra-LTE handovers have also the possibility to be transparent to the </w:t>
      </w:r>
      <w:r w:rsidR="00873E1E">
        <w:rPr>
          <w:szCs w:val="22"/>
          <w:lang w:val="en-US"/>
        </w:rPr>
        <w:t>CN</w:t>
      </w:r>
      <w:r>
        <w:rPr>
          <w:szCs w:val="22"/>
          <w:lang w:val="en-US"/>
        </w:rPr>
        <w:t>.</w:t>
      </w:r>
      <w:r w:rsidR="00873E1E">
        <w:rPr>
          <w:szCs w:val="22"/>
          <w:lang w:val="en-US"/>
        </w:rPr>
        <w:t xml:space="preserve"> That would be an advantage especially in co-located deployments of LTE and NR. </w:t>
      </w:r>
    </w:p>
    <w:p w14:paraId="547B0ABA" w14:textId="635E490A" w:rsidR="00744A9E" w:rsidRPr="00744A9E" w:rsidRDefault="00D45A6C" w:rsidP="001D49D4">
      <w:pPr>
        <w:pStyle w:val="Proposal"/>
      </w:pPr>
      <w:r>
        <w:rPr>
          <w:szCs w:val="22"/>
          <w:lang w:val="en-US"/>
        </w:rPr>
        <w:t>M</w:t>
      </w:r>
      <w:r w:rsidR="00744A9E">
        <w:rPr>
          <w:szCs w:val="22"/>
          <w:lang w:val="en-US"/>
        </w:rPr>
        <w:t xml:space="preserve">obility </w:t>
      </w:r>
      <w:r>
        <w:rPr>
          <w:szCs w:val="22"/>
          <w:lang w:val="en-US"/>
        </w:rPr>
        <w:t xml:space="preserve">between NR and </w:t>
      </w:r>
      <w:r w:rsidR="00744A9E">
        <w:rPr>
          <w:szCs w:val="22"/>
          <w:lang w:val="en-US"/>
        </w:rPr>
        <w:t xml:space="preserve">LTE </w:t>
      </w:r>
      <w:r w:rsidR="001D49D4">
        <w:rPr>
          <w:szCs w:val="22"/>
          <w:lang w:val="en-US"/>
        </w:rPr>
        <w:t xml:space="preserve">should target at least the same performance as intra-LTE </w:t>
      </w:r>
    </w:p>
    <w:p w14:paraId="5B12FB93" w14:textId="127A6840" w:rsidR="00625808" w:rsidRDefault="00625808" w:rsidP="00744A9E">
      <w:pPr>
        <w:pStyle w:val="Heading3"/>
      </w:pPr>
      <w:r>
        <w:t>Multi-RAT Aggregation</w:t>
      </w:r>
    </w:p>
    <w:p w14:paraId="24BA5664" w14:textId="1BB13333" w:rsidR="00070178" w:rsidRPr="00EA243E" w:rsidRDefault="008C102B" w:rsidP="008C102B">
      <w:pPr>
        <w:rPr>
          <w:szCs w:val="22"/>
          <w:lang w:val="en-US"/>
        </w:rPr>
      </w:pPr>
      <w:r>
        <w:t xml:space="preserve">According to </w:t>
      </w:r>
      <w:r>
        <w:fldChar w:fldCharType="begin"/>
      </w:r>
      <w:r>
        <w:instrText xml:space="preserve"> REF _Ref446848631 \n \h </w:instrText>
      </w:r>
      <w:r>
        <w:fldChar w:fldCharType="separate"/>
      </w:r>
      <w:r w:rsidR="00E356C5">
        <w:t>[2]</w:t>
      </w:r>
      <w:r>
        <w:fldChar w:fldCharType="end"/>
      </w:r>
      <w:r>
        <w:t xml:space="preserve"> </w:t>
      </w:r>
      <w:r w:rsidR="008842F2">
        <w:t>the RAN architecture shall support multi-RAT aggregation of data flows via at least Dual Connectivity between LTE and NR, supporting both collocated and non-collocated site deployments</w:t>
      </w:r>
      <w:r>
        <w:t xml:space="preserve">. Considering the requirements for high performing inter-RAT mobility, features enabled by Dual Connectivity could be a way to achieve extreme gains such as </w:t>
      </w:r>
      <w:r>
        <w:rPr>
          <w:szCs w:val="22"/>
          <w:lang w:val="en-US"/>
        </w:rPr>
        <w:t xml:space="preserve">lossless inter-RAT </w:t>
      </w:r>
      <w:r w:rsidR="00880248">
        <w:rPr>
          <w:szCs w:val="22"/>
          <w:lang w:val="en-US"/>
        </w:rPr>
        <w:t>handover</w:t>
      </w:r>
      <w:r>
        <w:rPr>
          <w:szCs w:val="22"/>
          <w:lang w:val="en-US"/>
        </w:rPr>
        <w:t xml:space="preserve"> with </w:t>
      </w:r>
      <w:r w:rsidRPr="0057064B">
        <w:rPr>
          <w:szCs w:val="22"/>
          <w:lang w:val="en-US"/>
        </w:rPr>
        <w:t>interruption delays</w:t>
      </w:r>
      <w:r>
        <w:rPr>
          <w:szCs w:val="22"/>
          <w:lang w:val="en-US"/>
        </w:rPr>
        <w:t xml:space="preserve"> down to zero for multi-radio UEs (the previous case presented in 2.1</w:t>
      </w:r>
      <w:r w:rsidR="000C3B70">
        <w:rPr>
          <w:szCs w:val="22"/>
          <w:lang w:val="en-US"/>
        </w:rPr>
        <w:t>.1</w:t>
      </w:r>
      <w:r>
        <w:rPr>
          <w:szCs w:val="22"/>
          <w:lang w:val="en-US"/>
        </w:rPr>
        <w:t xml:space="preserve"> might still relevant for single-radio UEs that cannot connect to both RATs simultaneously).</w:t>
      </w:r>
    </w:p>
    <w:p w14:paraId="172C4A1E" w14:textId="7A553BA5" w:rsidR="00436B32" w:rsidRDefault="000C3B70" w:rsidP="007E298A">
      <w:r>
        <w:rPr>
          <w:lang w:val="en-US"/>
        </w:rPr>
        <w:t>Additionally,</w:t>
      </w:r>
      <w:r w:rsidR="008C102B">
        <w:rPr>
          <w:lang w:val="en-US"/>
        </w:rPr>
        <w:t xml:space="preserve"> multi-RAT aggregation </w:t>
      </w:r>
      <w:r w:rsidR="008A7C4B">
        <w:rPr>
          <w:lang w:val="en-US"/>
        </w:rPr>
        <w:t xml:space="preserve">between NR and LTE can be essential to allow multi-radio UEs to benefit from a fast switching between NR and LTE or using simultaneous UP flows via aggregation. </w:t>
      </w:r>
      <w:r w:rsidR="002555D1">
        <w:rPr>
          <w:lang w:val="en-US"/>
        </w:rPr>
        <w:t>This will allow</w:t>
      </w:r>
      <w:r w:rsidR="008A7C4B">
        <w:rPr>
          <w:lang w:val="en-US"/>
        </w:rPr>
        <w:t xml:space="preserve"> </w:t>
      </w:r>
      <w:r w:rsidR="008A7C4B">
        <w:lastRenderedPageBreak/>
        <w:t xml:space="preserve">multi-radio UEs </w:t>
      </w:r>
      <w:r w:rsidR="002555D1">
        <w:t xml:space="preserve">to </w:t>
      </w:r>
      <w:r w:rsidR="008A7C4B">
        <w:t>connect</w:t>
      </w:r>
      <w:r w:rsidR="008A7C4B" w:rsidRPr="008A7C4B">
        <w:t xml:space="preserve"> to both high and low frequency cells </w:t>
      </w:r>
      <w:r w:rsidR="008A7C4B">
        <w:t xml:space="preserve">and </w:t>
      </w:r>
      <w:r w:rsidR="002555D1">
        <w:t>to</w:t>
      </w:r>
      <w:r w:rsidR="002555D1" w:rsidRPr="008A7C4B">
        <w:t xml:space="preserve"> </w:t>
      </w:r>
      <w:r w:rsidR="008A7C4B" w:rsidRPr="008A7C4B">
        <w:t xml:space="preserve">enjoy a boost of </w:t>
      </w:r>
      <w:r w:rsidR="005101EC">
        <w:t>throughput</w:t>
      </w:r>
      <w:r w:rsidR="002555D1" w:rsidRPr="008A7C4B">
        <w:t xml:space="preserve"> </w:t>
      </w:r>
      <w:r w:rsidR="008A7C4B" w:rsidRPr="008A7C4B">
        <w:t>(via NR cells) and reliable/robust coverage (via low frequency cells).</w:t>
      </w:r>
      <w:r w:rsidR="00436B32">
        <w:t xml:space="preserve"> </w:t>
      </w:r>
    </w:p>
    <w:p w14:paraId="0B85065C" w14:textId="61F10921" w:rsidR="00A749D8" w:rsidRPr="00436B32" w:rsidRDefault="00A749D8" w:rsidP="00A749D8">
      <w:pPr>
        <w:rPr>
          <w:lang w:val="en-US"/>
        </w:rPr>
      </w:pPr>
      <w:r>
        <w:rPr>
          <w:szCs w:val="22"/>
          <w:lang w:val="en-US"/>
        </w:rPr>
        <w:t xml:space="preserve">Dual Connectivity alternatives for LTE have been extensively studied </w:t>
      </w:r>
      <w:r>
        <w:rPr>
          <w:szCs w:val="22"/>
          <w:lang w:val="en-US"/>
        </w:rPr>
        <w:fldChar w:fldCharType="begin"/>
      </w:r>
      <w:r>
        <w:rPr>
          <w:szCs w:val="22"/>
          <w:lang w:val="en-US"/>
        </w:rPr>
        <w:instrText xml:space="preserve"> REF _Ref447229279 \n \h </w:instrText>
      </w:r>
      <w:r>
        <w:rPr>
          <w:szCs w:val="22"/>
          <w:lang w:val="en-US"/>
        </w:rPr>
      </w:r>
      <w:r>
        <w:rPr>
          <w:szCs w:val="22"/>
          <w:lang w:val="en-US"/>
        </w:rPr>
        <w:fldChar w:fldCharType="separate"/>
      </w:r>
      <w:r w:rsidR="00E356C5">
        <w:rPr>
          <w:szCs w:val="22"/>
          <w:lang w:val="en-US"/>
        </w:rPr>
        <w:t>[5]</w:t>
      </w:r>
      <w:r>
        <w:rPr>
          <w:szCs w:val="22"/>
          <w:lang w:val="en-US"/>
        </w:rPr>
        <w:fldChar w:fldCharType="end"/>
      </w:r>
      <w:r>
        <w:rPr>
          <w:szCs w:val="22"/>
          <w:lang w:val="en-US"/>
        </w:rPr>
        <w:t xml:space="preserve">. Solutions shown in </w:t>
      </w:r>
      <w:r w:rsidR="00F5550F">
        <w:rPr>
          <w:szCs w:val="22"/>
          <w:lang w:val="en-US"/>
        </w:rPr>
        <w:fldChar w:fldCharType="begin"/>
      </w:r>
      <w:r w:rsidR="00F5550F">
        <w:rPr>
          <w:szCs w:val="22"/>
          <w:lang w:val="en-US"/>
        </w:rPr>
        <w:instrText xml:space="preserve"> REF _Ref447287174 \h </w:instrText>
      </w:r>
      <w:r w:rsidR="00F5550F">
        <w:rPr>
          <w:szCs w:val="22"/>
          <w:lang w:val="en-US"/>
        </w:rPr>
      </w:r>
      <w:r w:rsidR="00F5550F">
        <w:rPr>
          <w:szCs w:val="22"/>
          <w:lang w:val="en-US"/>
        </w:rPr>
        <w:fldChar w:fldCharType="separate"/>
      </w:r>
      <w:r w:rsidR="00F5550F">
        <w:t xml:space="preserve">Figure </w:t>
      </w:r>
      <w:r w:rsidR="00F5550F">
        <w:rPr>
          <w:noProof/>
        </w:rPr>
        <w:t>2</w:t>
      </w:r>
      <w:r w:rsidR="00F5550F">
        <w:rPr>
          <w:szCs w:val="22"/>
          <w:lang w:val="en-US"/>
        </w:rPr>
        <w:fldChar w:fldCharType="end"/>
      </w:r>
      <w:r w:rsidR="00F5550F">
        <w:rPr>
          <w:szCs w:val="22"/>
          <w:lang w:val="en-US"/>
        </w:rPr>
        <w:t xml:space="preserve"> </w:t>
      </w:r>
      <w:r>
        <w:rPr>
          <w:szCs w:val="22"/>
          <w:lang w:val="en-US"/>
        </w:rPr>
        <w:t>have been standardized in Release 12</w:t>
      </w:r>
      <w:r>
        <w:rPr>
          <w:szCs w:val="22"/>
          <w:lang w:val="en-US"/>
        </w:rPr>
        <w:fldChar w:fldCharType="begin"/>
      </w:r>
      <w:r>
        <w:rPr>
          <w:szCs w:val="22"/>
          <w:lang w:val="en-US"/>
        </w:rPr>
        <w:instrText xml:space="preserve"> REF _Ref447229279 \n \h </w:instrText>
      </w:r>
      <w:r>
        <w:rPr>
          <w:szCs w:val="22"/>
          <w:lang w:val="en-US"/>
        </w:rPr>
      </w:r>
      <w:r>
        <w:rPr>
          <w:szCs w:val="22"/>
          <w:lang w:val="en-US"/>
        </w:rPr>
        <w:fldChar w:fldCharType="end"/>
      </w:r>
      <w:r>
        <w:t xml:space="preserve">. </w:t>
      </w:r>
      <w:r w:rsidR="00BF5266">
        <w:t>Rel-12 Dual Connectivity supports a switched bearer type (called 1A sometimes) where all the traffic of the bearers is going via the SeNB. Also downlink split bearers are supported where part of the downlink traffic is sent via the MeNB and part is sent via the SeNB and the data is split at PDCP-level. In Rel-13 it was also added support for splitting the uplink traffic of a bearer over the MeNB and SeNB.</w:t>
      </w:r>
      <w:r>
        <w:t xml:space="preserve"> These should be considered as a starting point for LTE and NR multi-RAT UP aggregation</w:t>
      </w:r>
      <w:r w:rsidR="00FC1C0B">
        <w:t>, which</w:t>
      </w:r>
      <w:r>
        <w:t xml:space="preserve"> should support at least </w:t>
      </w:r>
      <w:r w:rsidR="005101EC">
        <w:t xml:space="preserve">the solutions shown in </w:t>
      </w:r>
      <w:r w:rsidR="005101EC">
        <w:fldChar w:fldCharType="begin"/>
      </w:r>
      <w:r w:rsidR="005101EC">
        <w:instrText xml:space="preserve"> REF _Ref447287174 \h </w:instrText>
      </w:r>
      <w:r w:rsidR="005101EC">
        <w:fldChar w:fldCharType="separate"/>
      </w:r>
      <w:r w:rsidR="00687C0B">
        <w:t xml:space="preserve">Figure </w:t>
      </w:r>
      <w:r w:rsidR="00687C0B">
        <w:rPr>
          <w:noProof/>
        </w:rPr>
        <w:t>2</w:t>
      </w:r>
      <w:r w:rsidR="005101EC">
        <w:fldChar w:fldCharType="end"/>
      </w:r>
      <w:r>
        <w:t>.</w:t>
      </w:r>
    </w:p>
    <w:p w14:paraId="5C457939" w14:textId="77777777" w:rsidR="00745763" w:rsidRDefault="00A749D8" w:rsidP="00745763">
      <w:pPr>
        <w:pStyle w:val="TH"/>
      </w:pPr>
      <w:r>
        <w:rPr>
          <w:noProof/>
          <w:lang w:val="en-US" w:eastAsia="zh-CN"/>
        </w:rPr>
        <w:drawing>
          <wp:inline distT="0" distB="0" distL="0" distR="0" wp14:anchorId="4C7E9649" wp14:editId="32670AF5">
            <wp:extent cx="3647326" cy="188918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3611" cy="1913160"/>
                    </a:xfrm>
                    <a:prstGeom prst="rect">
                      <a:avLst/>
                    </a:prstGeom>
                    <a:noFill/>
                    <a:ln>
                      <a:noFill/>
                    </a:ln>
                  </pic:spPr>
                </pic:pic>
              </a:graphicData>
            </a:graphic>
          </wp:inline>
        </w:drawing>
      </w:r>
    </w:p>
    <w:p w14:paraId="0951A37C" w14:textId="3F055FC6" w:rsidR="00A749D8" w:rsidRDefault="00745763" w:rsidP="00745763">
      <w:pPr>
        <w:pStyle w:val="Caption"/>
      </w:pPr>
      <w:bookmarkStart w:id="4" w:name="_Ref447287174"/>
      <w:r>
        <w:t xml:space="preserve">Figure </w:t>
      </w:r>
      <w:r>
        <w:fldChar w:fldCharType="begin"/>
      </w:r>
      <w:r>
        <w:instrText xml:space="preserve"> SEQ Figure \* ARABIC </w:instrText>
      </w:r>
      <w:r>
        <w:fldChar w:fldCharType="separate"/>
      </w:r>
      <w:r w:rsidR="00687C0B">
        <w:rPr>
          <w:noProof/>
        </w:rPr>
        <w:t>2</w:t>
      </w:r>
      <w:r>
        <w:fldChar w:fldCharType="end"/>
      </w:r>
      <w:bookmarkEnd w:id="4"/>
      <w:r w:rsidR="0004093B">
        <w:t>:</w:t>
      </w:r>
      <w:r>
        <w:t xml:space="preserve"> Protocol architecture </w:t>
      </w:r>
      <w:r>
        <w:rPr>
          <w:noProof/>
        </w:rPr>
        <w:t>for Dual Connectivity Rel-12</w:t>
      </w:r>
    </w:p>
    <w:p w14:paraId="0839B4BD" w14:textId="5698D4A6" w:rsidR="00A749D8" w:rsidRDefault="00A749D8" w:rsidP="007E298A">
      <w:pPr>
        <w:pStyle w:val="Proposal"/>
      </w:pPr>
      <w:r w:rsidRPr="00A749D8">
        <w:rPr>
          <w:szCs w:val="22"/>
          <w:lang w:val="en-US"/>
        </w:rPr>
        <w:t xml:space="preserve">LTE-NR multi-RAT aggregation </w:t>
      </w:r>
      <w:r>
        <w:t xml:space="preserve">should target </w:t>
      </w:r>
      <w:r w:rsidRPr="00A749D8">
        <w:rPr>
          <w:szCs w:val="22"/>
          <w:lang w:val="en-US"/>
        </w:rPr>
        <w:t xml:space="preserve">at least </w:t>
      </w:r>
      <w:r>
        <w:t>split PDCP and direct routing</w:t>
      </w:r>
    </w:p>
    <w:p w14:paraId="22D29614" w14:textId="28D77AC6" w:rsidR="00A749D8" w:rsidRDefault="00A749D8" w:rsidP="00A749D8">
      <w:pPr>
        <w:pStyle w:val="Proposal"/>
        <w:numPr>
          <w:ilvl w:val="0"/>
          <w:numId w:val="0"/>
        </w:numPr>
        <w:ind w:left="1304" w:hanging="1304"/>
      </w:pPr>
      <w:r>
        <w:t xml:space="preserve"> </w:t>
      </w:r>
    </w:p>
    <w:p w14:paraId="3A9CBC7B" w14:textId="77777777" w:rsidR="00A828B5" w:rsidRDefault="00A749D8" w:rsidP="00F741E2">
      <w:pPr>
        <w:pStyle w:val="Heading3"/>
        <w:rPr>
          <w:szCs w:val="22"/>
          <w:lang w:val="en-US"/>
        </w:rPr>
      </w:pPr>
      <w:r>
        <w:rPr>
          <w:szCs w:val="22"/>
          <w:lang w:val="en-US"/>
        </w:rPr>
        <w:t>UP Design</w:t>
      </w:r>
    </w:p>
    <w:p w14:paraId="509A7B82" w14:textId="29F77F2B" w:rsidR="00144C35" w:rsidRPr="00F741E2" w:rsidRDefault="00144C35" w:rsidP="00A828B5">
      <w:pPr>
        <w:pStyle w:val="Heading4"/>
        <w:rPr>
          <w:szCs w:val="22"/>
          <w:lang w:val="en-US"/>
        </w:rPr>
      </w:pPr>
      <w:r w:rsidRPr="00F741E2">
        <w:rPr>
          <w:lang w:val="en-US"/>
        </w:rPr>
        <w:t>Single PDCP protocol for NR and LTE</w:t>
      </w:r>
    </w:p>
    <w:p w14:paraId="518109AF" w14:textId="01F75DC1" w:rsidR="00144C35" w:rsidRDefault="00144C35" w:rsidP="00144C35">
      <w:pPr>
        <w:rPr>
          <w:szCs w:val="22"/>
        </w:rPr>
      </w:pPr>
      <w:r>
        <w:rPr>
          <w:szCs w:val="22"/>
          <w:lang w:val="en-US"/>
        </w:rPr>
        <w:t xml:space="preserve">The simplest way to achieve a high performing inter-RAT mobility between NR and LTE would be to define a single PDCP layer for both LTE and NR i.e. a single PDPC specification and a single evolution track for both LTE and NR. This single PDCP could be the LTE-PDCP that is enhanced to also rely on services from NR lower layers or, a new NR-PDCP specification that has LTE-PDCP as a starting point. In any of these cases, a handover between LTE and NR could possibly benefit from a continued PDCP context and retransmission of PDCP SDUs. In addition to the LTE-PDCP functions associated to the support of high performing mobility, other PDCP functions such as </w:t>
      </w:r>
      <w:r w:rsidRPr="0057064B">
        <w:rPr>
          <w:szCs w:val="22"/>
          <w:lang w:val="en-US"/>
        </w:rPr>
        <w:t>header compression and deco</w:t>
      </w:r>
      <w:r>
        <w:rPr>
          <w:szCs w:val="22"/>
          <w:lang w:val="en-US"/>
        </w:rPr>
        <w:t xml:space="preserve">mpression, in-sequence delivery </w:t>
      </w:r>
      <w:r>
        <w:rPr>
          <w:szCs w:val="22"/>
        </w:rPr>
        <w:t xml:space="preserve">will also </w:t>
      </w:r>
      <w:r w:rsidRPr="0057064B">
        <w:rPr>
          <w:szCs w:val="22"/>
        </w:rPr>
        <w:t xml:space="preserve">be </w:t>
      </w:r>
      <w:r>
        <w:rPr>
          <w:szCs w:val="22"/>
        </w:rPr>
        <w:t xml:space="preserve">needed </w:t>
      </w:r>
      <w:r w:rsidRPr="0057064B">
        <w:rPr>
          <w:szCs w:val="22"/>
        </w:rPr>
        <w:t>by NR</w:t>
      </w:r>
      <w:r>
        <w:rPr>
          <w:szCs w:val="22"/>
        </w:rPr>
        <w:t>. Therefore, a single PDCP seems to be a reasonable starting point for the UP design to achieve a high performing inter-RAT mobility. This is shown in</w:t>
      </w:r>
      <w:r w:rsidR="000A1D6F">
        <w:rPr>
          <w:szCs w:val="22"/>
        </w:rPr>
        <w:t xml:space="preserve"> </w:t>
      </w:r>
      <w:r w:rsidR="000A1D6F">
        <w:rPr>
          <w:szCs w:val="22"/>
        </w:rPr>
        <w:fldChar w:fldCharType="begin"/>
      </w:r>
      <w:r w:rsidR="000A1D6F">
        <w:rPr>
          <w:szCs w:val="22"/>
        </w:rPr>
        <w:instrText xml:space="preserve"> REF _Ref447309460 \h </w:instrText>
      </w:r>
      <w:r w:rsidR="000A1D6F">
        <w:rPr>
          <w:szCs w:val="22"/>
        </w:rPr>
      </w:r>
      <w:r w:rsidR="000A1D6F">
        <w:rPr>
          <w:szCs w:val="22"/>
        </w:rPr>
        <w:fldChar w:fldCharType="separate"/>
      </w:r>
      <w:r w:rsidR="000A1D6F">
        <w:t xml:space="preserve">Figure </w:t>
      </w:r>
      <w:r w:rsidR="000A1D6F">
        <w:rPr>
          <w:noProof/>
        </w:rPr>
        <w:t>3</w:t>
      </w:r>
      <w:r w:rsidR="000A1D6F">
        <w:rPr>
          <w:szCs w:val="22"/>
        </w:rPr>
        <w:fldChar w:fldCharType="end"/>
      </w:r>
      <w:r w:rsidR="000A1D6F">
        <w:rPr>
          <w:szCs w:val="22"/>
        </w:rPr>
        <w:t>.</w:t>
      </w:r>
    </w:p>
    <w:p w14:paraId="5E5D6826" w14:textId="1D62EF01" w:rsidR="00144C35" w:rsidRDefault="000A1D6F" w:rsidP="00144C35">
      <w:pPr>
        <w:keepNext/>
        <w:jc w:val="center"/>
      </w:pPr>
      <w:r>
        <w:rPr>
          <w:noProof/>
          <w:szCs w:val="22"/>
          <w:lang w:val="en-US"/>
        </w:rPr>
        <w:lastRenderedPageBreak/>
        <w:drawing>
          <wp:inline distT="0" distB="0" distL="0" distR="0" wp14:anchorId="7777C9AF" wp14:editId="4F2C7CE0">
            <wp:extent cx="6056582" cy="3262962"/>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60141" cy="3264879"/>
                    </a:xfrm>
                    <a:prstGeom prst="rect">
                      <a:avLst/>
                    </a:prstGeom>
                    <a:noFill/>
                  </pic:spPr>
                </pic:pic>
              </a:graphicData>
            </a:graphic>
          </wp:inline>
        </w:drawing>
      </w:r>
    </w:p>
    <w:p w14:paraId="40715106" w14:textId="77777777" w:rsidR="00144C35" w:rsidRPr="00242E46" w:rsidRDefault="00144C35" w:rsidP="00144C35">
      <w:pPr>
        <w:pStyle w:val="Proposal"/>
        <w:numPr>
          <w:ilvl w:val="0"/>
          <w:numId w:val="0"/>
        </w:numPr>
        <w:ind w:left="1304"/>
      </w:pPr>
      <w:bookmarkStart w:id="5" w:name="_Ref447309460"/>
      <w:r>
        <w:t xml:space="preserve">Figure </w:t>
      </w:r>
      <w:r>
        <w:fldChar w:fldCharType="begin"/>
      </w:r>
      <w:r>
        <w:instrText xml:space="preserve"> SEQ Figure \* ARABIC </w:instrText>
      </w:r>
      <w:r>
        <w:fldChar w:fldCharType="separate"/>
      </w:r>
      <w:r w:rsidR="00791723">
        <w:rPr>
          <w:noProof/>
        </w:rPr>
        <w:t>3</w:t>
      </w:r>
      <w:r>
        <w:fldChar w:fldCharType="end"/>
      </w:r>
      <w:bookmarkEnd w:id="5"/>
      <w:r>
        <w:t xml:space="preserve"> Single PDCP for LTE and NR with single specification and evolution track</w:t>
      </w:r>
    </w:p>
    <w:p w14:paraId="563E1723" w14:textId="77777777" w:rsidR="00144C35" w:rsidRDefault="00144C35" w:rsidP="00144C35">
      <w:pPr>
        <w:rPr>
          <w:szCs w:val="22"/>
          <w:lang w:val="en-US"/>
        </w:rPr>
      </w:pPr>
    </w:p>
    <w:p w14:paraId="270A9041" w14:textId="4B9E9264" w:rsidR="00144C35" w:rsidRDefault="00144C35" w:rsidP="00144C35">
      <w:pPr>
        <w:rPr>
          <w:szCs w:val="22"/>
          <w:lang w:val="en-US"/>
        </w:rPr>
      </w:pPr>
      <w:r>
        <w:rPr>
          <w:szCs w:val="22"/>
          <w:lang w:val="en-US"/>
        </w:rPr>
        <w:t xml:space="preserve">A single PDPC is also beneficial to multi-RAT aggregation solutions, where </w:t>
      </w:r>
      <w:r w:rsidRPr="001913A5">
        <w:rPr>
          <w:szCs w:val="22"/>
          <w:lang w:val="en-US"/>
        </w:rPr>
        <w:t>PDCP PDU routing for transmission and PD</w:t>
      </w:r>
      <w:r>
        <w:rPr>
          <w:szCs w:val="22"/>
          <w:lang w:val="en-US"/>
        </w:rPr>
        <w:t xml:space="preserve">CP PDU reordering for reception functions from LTE-PDCP could be reused. In that case, either NR or LTE should possibly be defined as the RAT where the flow is split. Therefore, it seems reasonable to start studying how the LTE-PDCP can rely on services from the lower layers of NR, as shown In </w:t>
      </w:r>
      <w:r>
        <w:rPr>
          <w:szCs w:val="22"/>
          <w:lang w:val="en-US"/>
        </w:rPr>
        <w:fldChar w:fldCharType="begin"/>
      </w:r>
      <w:r>
        <w:rPr>
          <w:szCs w:val="22"/>
          <w:lang w:val="en-US"/>
        </w:rPr>
        <w:instrText xml:space="preserve"> REF _Ref447231088 \h </w:instrText>
      </w:r>
      <w:r>
        <w:rPr>
          <w:szCs w:val="22"/>
          <w:lang w:val="en-US"/>
        </w:rPr>
      </w:r>
      <w:r>
        <w:rPr>
          <w:szCs w:val="22"/>
          <w:lang w:val="en-US"/>
        </w:rPr>
        <w:fldChar w:fldCharType="separate"/>
      </w:r>
      <w:r>
        <w:t xml:space="preserve">Figure </w:t>
      </w:r>
      <w:r>
        <w:rPr>
          <w:noProof/>
        </w:rPr>
        <w:t>6</w:t>
      </w:r>
      <w:r>
        <w:rPr>
          <w:szCs w:val="22"/>
          <w:lang w:val="en-US"/>
        </w:rPr>
        <w:fldChar w:fldCharType="end"/>
      </w:r>
      <w:r>
        <w:rPr>
          <w:szCs w:val="22"/>
          <w:lang w:val="en-US"/>
        </w:rPr>
        <w:t xml:space="preserve">. </w:t>
      </w:r>
      <w:r w:rsidR="00687C0B">
        <w:rPr>
          <w:szCs w:val="22"/>
          <w:lang w:val="en-US"/>
        </w:rPr>
        <w:t>In the figure LTE-e</w:t>
      </w:r>
      <w:r w:rsidR="000A1D6F">
        <w:rPr>
          <w:szCs w:val="22"/>
          <w:lang w:val="en-US"/>
        </w:rPr>
        <w:t xml:space="preserve"> </w:t>
      </w:r>
    </w:p>
    <w:p w14:paraId="5B4CCEBA" w14:textId="3600C946" w:rsidR="00144C35" w:rsidRDefault="00144C35" w:rsidP="00144C35">
      <w:pPr>
        <w:keepNext/>
        <w:jc w:val="center"/>
      </w:pPr>
      <w:r>
        <w:rPr>
          <w:rStyle w:val="CommentReference"/>
        </w:rPr>
        <w:t xml:space="preserve"> </w:t>
      </w:r>
      <w:r w:rsidR="00850FFC">
        <w:rPr>
          <w:noProof/>
          <w:sz w:val="16"/>
          <w:szCs w:val="16"/>
          <w:lang w:val="en-US"/>
        </w:rPr>
        <w:drawing>
          <wp:inline distT="0" distB="0" distL="0" distR="0" wp14:anchorId="3FA9473B" wp14:editId="7C6D8464">
            <wp:extent cx="4253082" cy="138837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4101" cy="1391971"/>
                    </a:xfrm>
                    <a:prstGeom prst="rect">
                      <a:avLst/>
                    </a:prstGeom>
                    <a:noFill/>
                  </pic:spPr>
                </pic:pic>
              </a:graphicData>
            </a:graphic>
          </wp:inline>
        </w:drawing>
      </w:r>
    </w:p>
    <w:p w14:paraId="2CA3897E" w14:textId="15A67487" w:rsidR="00144C35" w:rsidRDefault="00144C35" w:rsidP="00144C35">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00F741E2">
        <w:t>Dual Connectivity solutions with a s</w:t>
      </w:r>
      <w:r>
        <w:t>ingle PDCP</w:t>
      </w:r>
    </w:p>
    <w:p w14:paraId="18DE6B09" w14:textId="77777777" w:rsidR="00144C35" w:rsidRDefault="00144C35" w:rsidP="00144C35">
      <w:pPr>
        <w:pStyle w:val="Proposal"/>
      </w:pPr>
      <w:r>
        <w:t>Assume for the UP a common PDCP for LTE and NR, based on LTE-PDCP with either LTE or NR possibly being MCG and/or SCG or bearer/flow split</w:t>
      </w:r>
    </w:p>
    <w:p w14:paraId="27BCFDF4" w14:textId="77777777" w:rsidR="00144C35" w:rsidRDefault="00144C35" w:rsidP="00144C35">
      <w:pPr>
        <w:pStyle w:val="Proposal"/>
      </w:pPr>
      <w:r>
        <w:t>Study how LTE-PDCP can rely on services from NR lower layers and support flow split</w:t>
      </w:r>
    </w:p>
    <w:p w14:paraId="6C6816F9" w14:textId="77777777" w:rsidR="00144C35" w:rsidRDefault="00144C35" w:rsidP="00F741E2">
      <w:pPr>
        <w:pStyle w:val="Heading4"/>
        <w:numPr>
          <w:ilvl w:val="0"/>
          <w:numId w:val="0"/>
        </w:numPr>
        <w:ind w:left="864"/>
        <w:rPr>
          <w:lang w:val="en-US"/>
        </w:rPr>
      </w:pPr>
    </w:p>
    <w:p w14:paraId="32FE55ED" w14:textId="7FFB6FC8" w:rsidR="00E91510" w:rsidRPr="00E91510" w:rsidRDefault="00A828B5" w:rsidP="00A828B5">
      <w:pPr>
        <w:pStyle w:val="Heading4"/>
        <w:rPr>
          <w:lang w:val="en-US"/>
        </w:rPr>
      </w:pPr>
      <w:r>
        <w:rPr>
          <w:lang w:val="en-US"/>
        </w:rPr>
        <w:t>S</w:t>
      </w:r>
      <w:r w:rsidR="0033257B" w:rsidRPr="00A828B5">
        <w:rPr>
          <w:lang w:val="en-US"/>
        </w:rPr>
        <w:t>eparate</w:t>
      </w:r>
      <w:r w:rsidR="0033257B">
        <w:rPr>
          <w:lang w:val="en-US"/>
        </w:rPr>
        <w:t xml:space="preserve"> </w:t>
      </w:r>
      <w:r w:rsidR="00E91510">
        <w:rPr>
          <w:lang w:val="en-US"/>
        </w:rPr>
        <w:t xml:space="preserve">PDCP </w:t>
      </w:r>
      <w:r w:rsidR="0033257B">
        <w:rPr>
          <w:lang w:val="en-US"/>
        </w:rPr>
        <w:t>protocols</w:t>
      </w:r>
      <w:r w:rsidR="00E91510">
        <w:rPr>
          <w:lang w:val="en-US"/>
        </w:rPr>
        <w:t xml:space="preserve"> for NR and LTE</w:t>
      </w:r>
    </w:p>
    <w:p w14:paraId="200DB5E9" w14:textId="35B57B14" w:rsidR="00A828B5" w:rsidRDefault="00A828B5" w:rsidP="00E74676">
      <w:pPr>
        <w:rPr>
          <w:szCs w:val="22"/>
          <w:lang w:val="en-US"/>
        </w:rPr>
      </w:pPr>
      <w:r>
        <w:rPr>
          <w:szCs w:val="22"/>
          <w:lang w:val="en-US"/>
        </w:rPr>
        <w:t>Another</w:t>
      </w:r>
      <w:r w:rsidR="00E91510">
        <w:rPr>
          <w:szCs w:val="22"/>
          <w:lang w:val="en-US"/>
        </w:rPr>
        <w:t xml:space="preserve"> possibility would be to define LTE-PDCP and NR-PDCP as two independent protocols with their own specifications. </w:t>
      </w:r>
      <w:r>
        <w:rPr>
          <w:szCs w:val="22"/>
          <w:lang w:val="en-US"/>
        </w:rPr>
        <w:t>In principle, this alternative provides a high flexibility to design NR-PDCP in a different way compared to LTE-PDCP. However, as it has been discussed, LTE-PDCP functions should anyway be supported in NR so the need for that flexibility becomes very unclear. Independent PDCPs for NR and LTE should be considered FFSs in the case fundamental design changes for NR-PDCP are identified.</w:t>
      </w:r>
      <w:r>
        <w:rPr>
          <w:rStyle w:val="CommentReference"/>
          <w:b/>
          <w:bCs/>
        </w:rPr>
        <w:t xml:space="preserve"> </w:t>
      </w:r>
    </w:p>
    <w:p w14:paraId="3259FB18" w14:textId="3096B0E9" w:rsidR="00E91510" w:rsidRPr="00E74676" w:rsidRDefault="00E91510" w:rsidP="00E74676">
      <w:pPr>
        <w:rPr>
          <w:szCs w:val="22"/>
          <w:lang w:val="en-US"/>
        </w:rPr>
      </w:pPr>
      <w:r>
        <w:rPr>
          <w:szCs w:val="22"/>
          <w:lang w:val="en-US"/>
        </w:rPr>
        <w:t>To fulfill the targets of high performing inter-RAT mobility LTE-PDCP should be designed to possibly rely on services from NR lower layer and NR-PDCP to rely services from LTE which could lead to complex interworking proce</w:t>
      </w:r>
      <w:r w:rsidR="00E74676">
        <w:rPr>
          <w:szCs w:val="22"/>
          <w:lang w:val="en-US"/>
        </w:rPr>
        <w:t xml:space="preserve">dures to allow PDCP continuity. </w:t>
      </w:r>
      <w:r w:rsidRPr="006D571C">
        <w:rPr>
          <w:rFonts w:cs="Arial"/>
          <w:lang w:val="en-US"/>
        </w:rPr>
        <w:t>In order to support the Dual Connect</w:t>
      </w:r>
      <w:r w:rsidR="00E74676">
        <w:rPr>
          <w:rFonts w:cs="Arial"/>
          <w:lang w:val="en-US"/>
        </w:rPr>
        <w:t xml:space="preserve">ivity solutions from Release 12 either </w:t>
      </w:r>
      <w:r w:rsidRPr="006D571C">
        <w:rPr>
          <w:rFonts w:cs="Arial"/>
        </w:rPr>
        <w:t xml:space="preserve">LTE-PDCP </w:t>
      </w:r>
      <w:r w:rsidR="00E74676">
        <w:rPr>
          <w:rFonts w:cs="Arial"/>
        </w:rPr>
        <w:t>or NR-PDCP s</w:t>
      </w:r>
      <w:r w:rsidRPr="006D571C">
        <w:rPr>
          <w:rFonts w:cs="Arial"/>
        </w:rPr>
        <w:t xml:space="preserve">hould be design to </w:t>
      </w:r>
      <w:r>
        <w:rPr>
          <w:rFonts w:cs="Arial"/>
        </w:rPr>
        <w:t xml:space="preserve">support split </w:t>
      </w:r>
      <w:r w:rsidR="0033257B">
        <w:rPr>
          <w:rFonts w:cs="Arial"/>
        </w:rPr>
        <w:t>bearer</w:t>
      </w:r>
      <w:r>
        <w:rPr>
          <w:rFonts w:cs="Arial"/>
        </w:rPr>
        <w:t>.</w:t>
      </w:r>
    </w:p>
    <w:p w14:paraId="59B89F8B" w14:textId="1B067D6D" w:rsidR="00E91510" w:rsidRDefault="00E74676" w:rsidP="00E91510">
      <w:pPr>
        <w:jc w:val="center"/>
      </w:pPr>
      <w:r>
        <w:rPr>
          <w:rFonts w:cs="Arial"/>
          <w:noProof/>
          <w:lang w:val="en-US"/>
        </w:rPr>
        <w:lastRenderedPageBreak/>
        <w:drawing>
          <wp:inline distT="0" distB="0" distL="0" distR="0" wp14:anchorId="63067080" wp14:editId="0916B74B">
            <wp:extent cx="4485736" cy="1594448"/>
            <wp:effectExtent l="0" t="0" r="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92480" cy="1596845"/>
                    </a:xfrm>
                    <a:prstGeom prst="rect">
                      <a:avLst/>
                    </a:prstGeom>
                    <a:noFill/>
                  </pic:spPr>
                </pic:pic>
              </a:graphicData>
            </a:graphic>
          </wp:inline>
        </w:drawing>
      </w:r>
    </w:p>
    <w:p w14:paraId="47EA9289" w14:textId="77777777" w:rsidR="00E74676" w:rsidRDefault="00E91510" w:rsidP="00E74676">
      <w:pPr>
        <w:pStyle w:val="Caption"/>
      </w:pPr>
      <w:r>
        <w:t xml:space="preserve">Figure </w:t>
      </w:r>
      <w:r>
        <w:fldChar w:fldCharType="begin"/>
      </w:r>
      <w:r>
        <w:instrText xml:space="preserve"> SEQ Figure \* ARABIC </w:instrText>
      </w:r>
      <w:r>
        <w:fldChar w:fldCharType="separate"/>
      </w:r>
      <w:r w:rsidR="00745763">
        <w:rPr>
          <w:noProof/>
        </w:rPr>
        <w:t>4</w:t>
      </w:r>
      <w:r>
        <w:fldChar w:fldCharType="end"/>
      </w:r>
      <w:r>
        <w:t xml:space="preserve"> Solutions for independent PDCPs</w:t>
      </w:r>
    </w:p>
    <w:p w14:paraId="3B5356FF" w14:textId="71DF7A55" w:rsidR="001175E7" w:rsidRPr="001175E7" w:rsidRDefault="001175E7" w:rsidP="001175E7">
      <w:pPr>
        <w:pStyle w:val="Heading1"/>
      </w:pPr>
      <w:r>
        <w:t>Conclusions</w:t>
      </w:r>
      <w:r w:rsidRPr="001175E7">
        <w:rPr>
          <w:szCs w:val="22"/>
        </w:rPr>
        <w:t xml:space="preserve"> </w:t>
      </w:r>
    </w:p>
    <w:p w14:paraId="7509A2A9" w14:textId="7CFB33B9" w:rsidR="004F5277" w:rsidRDefault="00255E13" w:rsidP="004F5277">
      <w:pPr>
        <w:tabs>
          <w:tab w:val="left" w:pos="6752"/>
        </w:tabs>
        <w:rPr>
          <w:rFonts w:eastAsia="Malgun Gothic" w:cs="Arial"/>
          <w:bCs/>
          <w:szCs w:val="22"/>
          <w:lang w:eastAsia="ko-KR"/>
        </w:rPr>
      </w:pPr>
      <w:r w:rsidRPr="00255E13">
        <w:rPr>
          <w:rFonts w:eastAsia="Malgun Gothic" w:cs="Arial"/>
          <w:bCs/>
          <w:szCs w:val="22"/>
          <w:lang w:eastAsia="ko-KR"/>
        </w:rPr>
        <w:t xml:space="preserve">From the UP design perspective a tight integration between LTE and NR consists of the design of a single PDCP protocol framework. An even tighter level of interworking could be achieved on MAC or RLC level. However, at least in LTE, these protocols are tightly coupled to the physical layer operation and similar is expected in NR. Hence, tight interworking of LTE and NR on MAC or RLC level would require very low latency backhaul and could therefore not be used for “non-collocated site deployments”. For Dual Connectivity and WLAN aggregation it has therefore been decided to use PDCP as common protocol layer and to separate the stack underneath. Even though also PDCP is quite tightly coupled to RLC, the interface to RLC can cope with longer delays. </w:t>
      </w:r>
      <w:r w:rsidR="00F5550F">
        <w:rPr>
          <w:rFonts w:eastAsia="Malgun Gothic" w:cs="Arial"/>
          <w:bCs/>
          <w:szCs w:val="22"/>
          <w:lang w:eastAsia="ko-KR"/>
        </w:rPr>
        <w:t>T</w:t>
      </w:r>
      <w:r w:rsidR="001175E7">
        <w:rPr>
          <w:rFonts w:eastAsia="Malgun Gothic" w:cs="Arial"/>
          <w:bCs/>
          <w:szCs w:val="22"/>
          <w:lang w:eastAsia="ko-KR"/>
        </w:rPr>
        <w:t>he following is proposed</w:t>
      </w:r>
      <w:r w:rsidR="00F5550F">
        <w:rPr>
          <w:rFonts w:eastAsia="Malgun Gothic" w:cs="Arial"/>
          <w:bCs/>
          <w:szCs w:val="22"/>
          <w:lang w:eastAsia="ko-KR"/>
        </w:rPr>
        <w:t xml:space="preserve"> regarding the UP design of a tight integration between LTE and NR</w:t>
      </w:r>
      <w:r w:rsidR="001175E7">
        <w:rPr>
          <w:rFonts w:eastAsia="Malgun Gothic" w:cs="Arial"/>
          <w:bCs/>
          <w:szCs w:val="22"/>
          <w:lang w:eastAsia="ko-KR"/>
        </w:rPr>
        <w:t>:</w:t>
      </w:r>
    </w:p>
    <w:p w14:paraId="754D2C60" w14:textId="16787526" w:rsidR="001938B0" w:rsidRPr="001938B0" w:rsidRDefault="00E356C5" w:rsidP="001938B0">
      <w:pPr>
        <w:pStyle w:val="Proposal"/>
        <w:numPr>
          <w:ilvl w:val="0"/>
          <w:numId w:val="58"/>
        </w:numPr>
      </w:pPr>
      <w:r>
        <w:rPr>
          <w:szCs w:val="22"/>
          <w:lang w:val="en-US"/>
        </w:rPr>
        <w:t>Mobility between NR and LTE should target at least the same performance as intra-LTE</w:t>
      </w:r>
    </w:p>
    <w:p w14:paraId="1EB9C1D0" w14:textId="6223D728" w:rsidR="00F5550F" w:rsidRPr="001938B0" w:rsidRDefault="00E356C5" w:rsidP="001938B0">
      <w:pPr>
        <w:pStyle w:val="Proposal"/>
        <w:numPr>
          <w:ilvl w:val="0"/>
          <w:numId w:val="58"/>
        </w:numPr>
      </w:pPr>
      <w:r w:rsidRPr="00A749D8">
        <w:rPr>
          <w:szCs w:val="22"/>
          <w:lang w:val="en-US"/>
        </w:rPr>
        <w:t xml:space="preserve">LTE-NR multi-RAT aggregation </w:t>
      </w:r>
      <w:r>
        <w:t xml:space="preserve">should target </w:t>
      </w:r>
      <w:r w:rsidRPr="00A749D8">
        <w:rPr>
          <w:szCs w:val="22"/>
          <w:lang w:val="en-US"/>
        </w:rPr>
        <w:t xml:space="preserve">at least </w:t>
      </w:r>
      <w:r>
        <w:t>split PDCP and direct routing</w:t>
      </w:r>
    </w:p>
    <w:p w14:paraId="41F2B2BE" w14:textId="5BB692E4" w:rsidR="00F5550F" w:rsidRDefault="004A1B86" w:rsidP="00F5550F">
      <w:pPr>
        <w:pStyle w:val="Proposal"/>
      </w:pPr>
      <w:r>
        <w:t>Assume for the UP a common PDCP for LTE and NR, based on LTE-PDCP with either LTE or NR possibly being MCG and/or SCG or bearer/flow split</w:t>
      </w:r>
      <w:bookmarkStart w:id="6" w:name="_GoBack"/>
      <w:bookmarkEnd w:id="6"/>
    </w:p>
    <w:p w14:paraId="74677ABA" w14:textId="310ACC98" w:rsidR="00F5550F" w:rsidRPr="004F5277" w:rsidRDefault="00E356C5" w:rsidP="006F250B">
      <w:pPr>
        <w:pStyle w:val="Proposal"/>
        <w:rPr>
          <w:rFonts w:eastAsia="Malgun Gothic"/>
          <w:lang w:eastAsia="ko-KR"/>
        </w:rPr>
      </w:pPr>
      <w:r>
        <w:t>Study how LTE-PDCP can rely on services from NR lower layers and support flow split</w:t>
      </w:r>
    </w:p>
    <w:p w14:paraId="72BB1D93" w14:textId="77777777" w:rsidR="00427637" w:rsidRPr="00A742FA" w:rsidRDefault="00427637" w:rsidP="00427637">
      <w:pPr>
        <w:pStyle w:val="Heading1"/>
        <w:rPr>
          <w:lang w:val="en-US"/>
        </w:rPr>
      </w:pPr>
      <w:r w:rsidRPr="00A742FA">
        <w:rPr>
          <w:lang w:val="en-US"/>
        </w:rPr>
        <w:t>Reference</w:t>
      </w:r>
      <w:r>
        <w:rPr>
          <w:lang w:val="en-US"/>
        </w:rPr>
        <w:t>s</w:t>
      </w:r>
    </w:p>
    <w:p w14:paraId="0F6A84EB" w14:textId="6A517508" w:rsidR="00427637" w:rsidRDefault="00B241B6" w:rsidP="00B241B6">
      <w:pPr>
        <w:pStyle w:val="Reference"/>
      </w:pPr>
      <w:bookmarkStart w:id="7" w:name="_Ref447315032"/>
      <w:r w:rsidRPr="00B241B6">
        <w:t xml:space="preserve">3GPP TR 38.913, “Study on Scenarios and Requirements for Next Generation Access Technologies”, v0.3.0, </w:t>
      </w:r>
      <w:hyperlink r:id="rId19" w:history="1">
        <w:r w:rsidRPr="00263D0A">
          <w:rPr>
            <w:rStyle w:val="Hyperlink"/>
          </w:rPr>
          <w:t>http://www.3gpp.org/DynaReport/38913.htm</w:t>
        </w:r>
      </w:hyperlink>
      <w:bookmarkEnd w:id="7"/>
      <w:r>
        <w:t xml:space="preserve"> </w:t>
      </w:r>
    </w:p>
    <w:p w14:paraId="7A3FF524" w14:textId="77777777" w:rsidR="00602907" w:rsidRDefault="00602907" w:rsidP="00602907">
      <w:pPr>
        <w:pStyle w:val="Reference"/>
      </w:pPr>
      <w:bookmarkStart w:id="8" w:name="_Ref446848631"/>
      <w:bookmarkStart w:id="9" w:name="_Ref447001561"/>
      <w:r>
        <w:t xml:space="preserve">RP-160671, </w:t>
      </w:r>
      <w:r w:rsidRPr="0048493D">
        <w:t xml:space="preserve">New </w:t>
      </w:r>
      <w:r>
        <w:t xml:space="preserve">SID </w:t>
      </w:r>
      <w:r w:rsidRPr="0048493D">
        <w:t>Proposal: Study on New Radio Access Technology</w:t>
      </w:r>
      <w:bookmarkEnd w:id="8"/>
      <w:bookmarkEnd w:id="9"/>
    </w:p>
    <w:p w14:paraId="3BF6A254" w14:textId="77777777" w:rsidR="008E2C99" w:rsidRPr="0048493D" w:rsidRDefault="00C15262" w:rsidP="008E2C99">
      <w:pPr>
        <w:pStyle w:val="Reference"/>
      </w:pPr>
      <w:hyperlink r:id="rId20" w:history="1">
        <w:bookmarkStart w:id="10" w:name="_Ref446848783"/>
        <w:r w:rsidR="008E2C99" w:rsidRPr="00E30C84">
          <w:rPr>
            <w:rStyle w:val="Hyperlink"/>
          </w:rPr>
          <w:t>METIS-II White Paper on 5G RAN Architecture and Functional design</w:t>
        </w:r>
        <w:bookmarkEnd w:id="10"/>
      </w:hyperlink>
    </w:p>
    <w:p w14:paraId="23F7D175" w14:textId="77777777" w:rsidR="00D54DAA" w:rsidRPr="00D54DAA" w:rsidRDefault="00D54DAA" w:rsidP="00602907">
      <w:pPr>
        <w:pStyle w:val="Reference"/>
      </w:pPr>
      <w:bookmarkStart w:id="11" w:name="_Ref447003550"/>
      <w:r w:rsidRPr="0057064B">
        <w:rPr>
          <w:szCs w:val="22"/>
          <w:lang w:val="en-US"/>
        </w:rPr>
        <w:t>TS 36.300</w:t>
      </w:r>
      <w:bookmarkEnd w:id="11"/>
    </w:p>
    <w:p w14:paraId="0C532192" w14:textId="11A80F71" w:rsidR="001175E7" w:rsidRPr="00E356C5" w:rsidRDefault="00436B32" w:rsidP="0038254D">
      <w:pPr>
        <w:pStyle w:val="Reference"/>
        <w:rPr>
          <w:lang w:val="sv-SE"/>
        </w:rPr>
      </w:pPr>
      <w:bookmarkStart w:id="12" w:name="_Ref447229279"/>
      <w:r w:rsidRPr="00436B32">
        <w:rPr>
          <w:lang w:val="sv-SE"/>
        </w:rPr>
        <w:t xml:space="preserve">TR 38 842, </w:t>
      </w:r>
      <w:hyperlink r:id="rId21" w:history="1">
        <w:r w:rsidRPr="00436B32">
          <w:rPr>
            <w:rStyle w:val="Hyperlink"/>
            <w:lang w:val="sv-SE"/>
          </w:rPr>
          <w:t>http://www.3gpp.org/DynaReport/36842.htm</w:t>
        </w:r>
      </w:hyperlink>
      <w:bookmarkEnd w:id="12"/>
    </w:p>
    <w:p w14:paraId="3C905192" w14:textId="77777777" w:rsidR="003A7EF3" w:rsidRPr="00E356C5" w:rsidRDefault="003A7EF3" w:rsidP="00D00AE7">
      <w:pPr>
        <w:rPr>
          <w:lang w:val="sv-SE"/>
        </w:rPr>
      </w:pPr>
    </w:p>
    <w:sectPr w:rsidR="003A7EF3" w:rsidRPr="00E356C5">
      <w:headerReference w:type="even" r:id="rId22"/>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22EE5" w14:textId="77777777" w:rsidR="00C15262" w:rsidRDefault="00C15262">
      <w:r>
        <w:separator/>
      </w:r>
    </w:p>
  </w:endnote>
  <w:endnote w:type="continuationSeparator" w:id="0">
    <w:p w14:paraId="761D3BE3" w14:textId="77777777" w:rsidR="00C15262" w:rsidRDefault="00C15262">
      <w:r>
        <w:continuationSeparator/>
      </w:r>
    </w:p>
  </w:endnote>
  <w:endnote w:type="continuationNotice" w:id="1">
    <w:p w14:paraId="4816A9C1" w14:textId="77777777" w:rsidR="00C15262" w:rsidRDefault="00C15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2352E" w:rsidRDefault="002235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1B8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1B8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0696B" w14:textId="77777777" w:rsidR="00C15262" w:rsidRDefault="00C15262">
      <w:r>
        <w:separator/>
      </w:r>
    </w:p>
  </w:footnote>
  <w:footnote w:type="continuationSeparator" w:id="0">
    <w:p w14:paraId="01A3A2BD" w14:textId="77777777" w:rsidR="00C15262" w:rsidRDefault="00C15262">
      <w:r>
        <w:continuationSeparator/>
      </w:r>
    </w:p>
  </w:footnote>
  <w:footnote w:type="continuationNotice" w:id="1">
    <w:p w14:paraId="03340FF3" w14:textId="77777777" w:rsidR="00C15262" w:rsidRDefault="00C152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2352E" w:rsidRDefault="0022352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2352E" w:rsidRDefault="00223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9266CA"/>
    <w:lvl w:ilvl="0">
      <w:start w:val="1"/>
      <w:numFmt w:val="decimal"/>
      <w:lvlText w:val="%1."/>
      <w:lvlJc w:val="left"/>
      <w:pPr>
        <w:tabs>
          <w:tab w:val="num" w:pos="1492"/>
        </w:tabs>
        <w:ind w:left="1492" w:hanging="360"/>
      </w:pPr>
    </w:lvl>
  </w:abstractNum>
  <w:abstractNum w:abstractNumId="1">
    <w:nsid w:val="FFFFFF7D"/>
    <w:multiLevelType w:val="singleLevel"/>
    <w:tmpl w:val="A80AF504"/>
    <w:lvl w:ilvl="0">
      <w:start w:val="1"/>
      <w:numFmt w:val="decimal"/>
      <w:lvlText w:val="%1."/>
      <w:lvlJc w:val="left"/>
      <w:pPr>
        <w:tabs>
          <w:tab w:val="num" w:pos="1209"/>
        </w:tabs>
        <w:ind w:left="1209" w:hanging="360"/>
      </w:pPr>
    </w:lvl>
  </w:abstractNum>
  <w:abstractNum w:abstractNumId="2">
    <w:nsid w:val="FFFFFF7E"/>
    <w:multiLevelType w:val="singleLevel"/>
    <w:tmpl w:val="2CDC397C"/>
    <w:lvl w:ilvl="0">
      <w:start w:val="1"/>
      <w:numFmt w:val="decimal"/>
      <w:lvlText w:val="%1."/>
      <w:lvlJc w:val="left"/>
      <w:pPr>
        <w:tabs>
          <w:tab w:val="num" w:pos="926"/>
        </w:tabs>
        <w:ind w:left="926" w:hanging="360"/>
      </w:pPr>
    </w:lvl>
  </w:abstractNum>
  <w:abstractNum w:abstractNumId="3">
    <w:nsid w:val="FFFFFF89"/>
    <w:multiLevelType w:val="singleLevel"/>
    <w:tmpl w:val="8D9618A0"/>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6484816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29"/>
        </w:tabs>
        <w:ind w:left="142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F475AB"/>
    <w:multiLevelType w:val="hybridMultilevel"/>
    <w:tmpl w:val="F9CCA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DA51E06"/>
    <w:multiLevelType w:val="hybridMultilevel"/>
    <w:tmpl w:val="7950786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A235AA"/>
    <w:multiLevelType w:val="hybridMultilevel"/>
    <w:tmpl w:val="0C6AA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6">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A2D434FC"/>
    <w:lvl w:ilvl="0" w:tplc="0E0EA544">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C265AFB"/>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F86E17"/>
    <w:multiLevelType w:val="hybridMultilevel"/>
    <w:tmpl w:val="86722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3903C3D"/>
    <w:multiLevelType w:val="hybridMultilevel"/>
    <w:tmpl w:val="83140140"/>
    <w:lvl w:ilvl="0" w:tplc="5308F488">
      <w:start w:val="1"/>
      <w:numFmt w:val="bullet"/>
      <w:lvlText w:val="›"/>
      <w:lvlJc w:val="left"/>
      <w:pPr>
        <w:tabs>
          <w:tab w:val="num" w:pos="720"/>
        </w:tabs>
        <w:ind w:left="720" w:hanging="360"/>
      </w:pPr>
      <w:rPr>
        <w:rFonts w:ascii="Arial" w:hAnsi="Arial" w:hint="default"/>
      </w:rPr>
    </w:lvl>
    <w:lvl w:ilvl="1" w:tplc="8F6CA612">
      <w:start w:val="2470"/>
      <w:numFmt w:val="bullet"/>
      <w:lvlText w:val="–"/>
      <w:lvlJc w:val="left"/>
      <w:pPr>
        <w:tabs>
          <w:tab w:val="num" w:pos="1440"/>
        </w:tabs>
        <w:ind w:left="1440" w:hanging="360"/>
      </w:pPr>
      <w:rPr>
        <w:rFonts w:ascii="Ericsson Capital TT" w:hAnsi="Ericsson Capital TT" w:hint="default"/>
      </w:rPr>
    </w:lvl>
    <w:lvl w:ilvl="2" w:tplc="842E6C08" w:tentative="1">
      <w:start w:val="1"/>
      <w:numFmt w:val="bullet"/>
      <w:lvlText w:val="›"/>
      <w:lvlJc w:val="left"/>
      <w:pPr>
        <w:tabs>
          <w:tab w:val="num" w:pos="2160"/>
        </w:tabs>
        <w:ind w:left="2160" w:hanging="360"/>
      </w:pPr>
      <w:rPr>
        <w:rFonts w:ascii="Arial" w:hAnsi="Arial" w:hint="default"/>
      </w:rPr>
    </w:lvl>
    <w:lvl w:ilvl="3" w:tplc="D5E4435A" w:tentative="1">
      <w:start w:val="1"/>
      <w:numFmt w:val="bullet"/>
      <w:lvlText w:val="›"/>
      <w:lvlJc w:val="left"/>
      <w:pPr>
        <w:tabs>
          <w:tab w:val="num" w:pos="2880"/>
        </w:tabs>
        <w:ind w:left="2880" w:hanging="360"/>
      </w:pPr>
      <w:rPr>
        <w:rFonts w:ascii="Arial" w:hAnsi="Arial" w:hint="default"/>
      </w:rPr>
    </w:lvl>
    <w:lvl w:ilvl="4" w:tplc="31FA965E" w:tentative="1">
      <w:start w:val="1"/>
      <w:numFmt w:val="bullet"/>
      <w:lvlText w:val="›"/>
      <w:lvlJc w:val="left"/>
      <w:pPr>
        <w:tabs>
          <w:tab w:val="num" w:pos="3600"/>
        </w:tabs>
        <w:ind w:left="3600" w:hanging="360"/>
      </w:pPr>
      <w:rPr>
        <w:rFonts w:ascii="Arial" w:hAnsi="Arial" w:hint="default"/>
      </w:rPr>
    </w:lvl>
    <w:lvl w:ilvl="5" w:tplc="24B2384C" w:tentative="1">
      <w:start w:val="1"/>
      <w:numFmt w:val="bullet"/>
      <w:lvlText w:val="›"/>
      <w:lvlJc w:val="left"/>
      <w:pPr>
        <w:tabs>
          <w:tab w:val="num" w:pos="4320"/>
        </w:tabs>
        <w:ind w:left="4320" w:hanging="360"/>
      </w:pPr>
      <w:rPr>
        <w:rFonts w:ascii="Arial" w:hAnsi="Arial" w:hint="default"/>
      </w:rPr>
    </w:lvl>
    <w:lvl w:ilvl="6" w:tplc="4190910E" w:tentative="1">
      <w:start w:val="1"/>
      <w:numFmt w:val="bullet"/>
      <w:lvlText w:val="›"/>
      <w:lvlJc w:val="left"/>
      <w:pPr>
        <w:tabs>
          <w:tab w:val="num" w:pos="5040"/>
        </w:tabs>
        <w:ind w:left="5040" w:hanging="360"/>
      </w:pPr>
      <w:rPr>
        <w:rFonts w:ascii="Arial" w:hAnsi="Arial" w:hint="default"/>
      </w:rPr>
    </w:lvl>
    <w:lvl w:ilvl="7" w:tplc="37DEB634" w:tentative="1">
      <w:start w:val="1"/>
      <w:numFmt w:val="bullet"/>
      <w:lvlText w:val="›"/>
      <w:lvlJc w:val="left"/>
      <w:pPr>
        <w:tabs>
          <w:tab w:val="num" w:pos="5760"/>
        </w:tabs>
        <w:ind w:left="5760" w:hanging="360"/>
      </w:pPr>
      <w:rPr>
        <w:rFonts w:ascii="Arial" w:hAnsi="Arial" w:hint="default"/>
      </w:rPr>
    </w:lvl>
    <w:lvl w:ilvl="8" w:tplc="94B8F6AA" w:tentative="1">
      <w:start w:val="1"/>
      <w:numFmt w:val="bullet"/>
      <w:lvlText w:val="›"/>
      <w:lvlJc w:val="left"/>
      <w:pPr>
        <w:tabs>
          <w:tab w:val="num" w:pos="6480"/>
        </w:tabs>
        <w:ind w:left="6480" w:hanging="360"/>
      </w:pPr>
      <w:rPr>
        <w:rFonts w:ascii="Arial" w:hAnsi="Arial" w:hint="default"/>
      </w:rPr>
    </w:lvl>
  </w:abstractNum>
  <w:abstractNum w:abstractNumId="4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C619CC"/>
    <w:multiLevelType w:val="hybridMultilevel"/>
    <w:tmpl w:val="D8C0F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D6F6DF5"/>
    <w:multiLevelType w:val="hybridMultilevel"/>
    <w:tmpl w:val="2DB83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EE74151"/>
    <w:multiLevelType w:val="hybridMultilevel"/>
    <w:tmpl w:val="2BF49DC6"/>
    <w:lvl w:ilvl="0" w:tplc="F21CD0CE">
      <w:start w:val="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9"/>
  </w:num>
  <w:num w:numId="4">
    <w:abstractNumId w:val="20"/>
  </w:num>
  <w:num w:numId="5">
    <w:abstractNumId w:val="17"/>
  </w:num>
  <w:num w:numId="6">
    <w:abstractNumId w:val="22"/>
  </w:num>
  <w:num w:numId="7">
    <w:abstractNumId w:val="33"/>
  </w:num>
  <w:num w:numId="8">
    <w:abstractNumId w:val="18"/>
  </w:num>
  <w:num w:numId="9">
    <w:abstractNumId w:val="15"/>
  </w:num>
  <w:num w:numId="10">
    <w:abstractNumId w:val="2"/>
  </w:num>
  <w:num w:numId="11">
    <w:abstractNumId w:val="1"/>
  </w:num>
  <w:num w:numId="12">
    <w:abstractNumId w:val="0"/>
  </w:num>
  <w:num w:numId="13">
    <w:abstractNumId w:val="29"/>
  </w:num>
  <w:num w:numId="14">
    <w:abstractNumId w:val="26"/>
  </w:num>
  <w:num w:numId="15">
    <w:abstractNumId w:val="7"/>
  </w:num>
  <w:num w:numId="16">
    <w:abstractNumId w:val="28"/>
  </w:num>
  <w:num w:numId="17">
    <w:abstractNumId w:val="21"/>
  </w:num>
  <w:num w:numId="18">
    <w:abstractNumId w:val="30"/>
  </w:num>
  <w:num w:numId="19">
    <w:abstractNumId w:val="31"/>
  </w:num>
  <w:num w:numId="20">
    <w:abstractNumId w:val="9"/>
  </w:num>
  <w:num w:numId="21">
    <w:abstractNumId w:val="39"/>
  </w:num>
  <w:num w:numId="22">
    <w:abstractNumId w:val="37"/>
  </w:num>
  <w:num w:numId="23">
    <w:abstractNumId w:val="13"/>
  </w:num>
  <w:num w:numId="24">
    <w:abstractNumId w:val="19"/>
  </w:num>
  <w:num w:numId="25">
    <w:abstractNumId w:val="19"/>
    <w:lvlOverride w:ilvl="0">
      <w:startOverride w:val="1"/>
    </w:lvlOverride>
  </w:num>
  <w:num w:numId="26">
    <w:abstractNumId w:val="19"/>
    <w:lvlOverride w:ilvl="0">
      <w:startOverride w:val="1"/>
    </w:lvlOverride>
  </w:num>
  <w:num w:numId="27">
    <w:abstractNumId w:val="19"/>
    <w:lvlOverride w:ilvl="0">
      <w:startOverride w:val="1"/>
    </w:lvlOverride>
  </w:num>
  <w:num w:numId="28">
    <w:abstractNumId w:val="38"/>
  </w:num>
  <w:num w:numId="29">
    <w:abstractNumId w:val="41"/>
  </w:num>
  <w:num w:numId="30">
    <w:abstractNumId w:val="40"/>
  </w:num>
  <w:num w:numId="31">
    <w:abstractNumId w:val="35"/>
  </w:num>
  <w:num w:numId="32">
    <w:abstractNumId w:val="32"/>
  </w:num>
  <w:num w:numId="33">
    <w:abstractNumId w:val="14"/>
  </w:num>
  <w:num w:numId="34">
    <w:abstractNumId w:val="25"/>
  </w:num>
  <w:num w:numId="35">
    <w:abstractNumId w:val="44"/>
  </w:num>
  <w:num w:numId="36">
    <w:abstractNumId w:val="48"/>
  </w:num>
  <w:num w:numId="37">
    <w:abstractNumId w:val="47"/>
  </w:num>
  <w:num w:numId="38">
    <w:abstractNumId w:val="45"/>
  </w:num>
  <w:num w:numId="39">
    <w:abstractNumId w:val="16"/>
  </w:num>
  <w:num w:numId="40">
    <w:abstractNumId w:val="43"/>
  </w:num>
  <w:num w:numId="41">
    <w:abstractNumId w:val="42"/>
  </w:num>
  <w:num w:numId="42">
    <w:abstractNumId w:val="24"/>
  </w:num>
  <w:num w:numId="43">
    <w:abstractNumId w:val="34"/>
  </w:num>
  <w:num w:numId="44">
    <w:abstractNumId w:val="50"/>
  </w:num>
  <w:num w:numId="45">
    <w:abstractNumId w:val="36"/>
  </w:num>
  <w:num w:numId="46">
    <w:abstractNumId w:val="46"/>
  </w:num>
  <w:num w:numId="47">
    <w:abstractNumId w:val="8"/>
  </w:num>
  <w:num w:numId="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1"/>
  </w:num>
  <w:num w:numId="50">
    <w:abstractNumId w:val="23"/>
  </w:num>
  <w:num w:numId="51">
    <w:abstractNumId w:val="12"/>
  </w:num>
  <w:num w:numId="52">
    <w:abstractNumId w:val="3"/>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num>
  <w:num w:numId="55">
    <w:abstractNumId w:val="49"/>
  </w:num>
  <w:num w:numId="56">
    <w:abstractNumId w:val="6"/>
  </w:num>
  <w:num w:numId="57">
    <w:abstractNumId w:val="19"/>
    <w:lvlOverride w:ilvl="0">
      <w:startOverride w:val="1"/>
    </w:lvlOverride>
  </w:num>
  <w:num w:numId="58">
    <w:abstractNumId w:val="19"/>
    <w:lvlOverride w:ilvl="0">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2EE"/>
    <w:rsid w:val="00002A37"/>
    <w:rsid w:val="00002CF7"/>
    <w:rsid w:val="000032F4"/>
    <w:rsid w:val="00006446"/>
    <w:rsid w:val="000064B4"/>
    <w:rsid w:val="00006896"/>
    <w:rsid w:val="00007CDC"/>
    <w:rsid w:val="00011B28"/>
    <w:rsid w:val="00012CA8"/>
    <w:rsid w:val="00014632"/>
    <w:rsid w:val="00014A15"/>
    <w:rsid w:val="00015D15"/>
    <w:rsid w:val="00016927"/>
    <w:rsid w:val="00016C36"/>
    <w:rsid w:val="00021584"/>
    <w:rsid w:val="00023678"/>
    <w:rsid w:val="0002564D"/>
    <w:rsid w:val="00025ECA"/>
    <w:rsid w:val="00026B3C"/>
    <w:rsid w:val="000325B8"/>
    <w:rsid w:val="00034C15"/>
    <w:rsid w:val="00036BA1"/>
    <w:rsid w:val="00036BF1"/>
    <w:rsid w:val="0004093B"/>
    <w:rsid w:val="000422E2"/>
    <w:rsid w:val="00042F22"/>
    <w:rsid w:val="0004395C"/>
    <w:rsid w:val="000444EF"/>
    <w:rsid w:val="00047DBE"/>
    <w:rsid w:val="00050CBD"/>
    <w:rsid w:val="000520E6"/>
    <w:rsid w:val="00052A07"/>
    <w:rsid w:val="000534E3"/>
    <w:rsid w:val="00053C13"/>
    <w:rsid w:val="00055BC1"/>
    <w:rsid w:val="00055F98"/>
    <w:rsid w:val="0005606A"/>
    <w:rsid w:val="00057117"/>
    <w:rsid w:val="000609B7"/>
    <w:rsid w:val="000616E7"/>
    <w:rsid w:val="00061EB1"/>
    <w:rsid w:val="00063266"/>
    <w:rsid w:val="00063B04"/>
    <w:rsid w:val="0006487E"/>
    <w:rsid w:val="00065E1A"/>
    <w:rsid w:val="00066097"/>
    <w:rsid w:val="000668D7"/>
    <w:rsid w:val="00070178"/>
    <w:rsid w:val="00070EAF"/>
    <w:rsid w:val="00070FBD"/>
    <w:rsid w:val="00075985"/>
    <w:rsid w:val="00077E5F"/>
    <w:rsid w:val="0008036A"/>
    <w:rsid w:val="00081AE6"/>
    <w:rsid w:val="00082EFE"/>
    <w:rsid w:val="000855EB"/>
    <w:rsid w:val="00085B52"/>
    <w:rsid w:val="000866F2"/>
    <w:rsid w:val="0009009F"/>
    <w:rsid w:val="00090CCA"/>
    <w:rsid w:val="00091557"/>
    <w:rsid w:val="000919F9"/>
    <w:rsid w:val="00092304"/>
    <w:rsid w:val="000924C1"/>
    <w:rsid w:val="000924F0"/>
    <w:rsid w:val="00093474"/>
    <w:rsid w:val="000947E8"/>
    <w:rsid w:val="0009510F"/>
    <w:rsid w:val="0009617B"/>
    <w:rsid w:val="000A08D8"/>
    <w:rsid w:val="000A0AFD"/>
    <w:rsid w:val="000A1302"/>
    <w:rsid w:val="000A1B7B"/>
    <w:rsid w:val="000A1D6F"/>
    <w:rsid w:val="000A36C3"/>
    <w:rsid w:val="000A4C40"/>
    <w:rsid w:val="000A5228"/>
    <w:rsid w:val="000A56F2"/>
    <w:rsid w:val="000A57F6"/>
    <w:rsid w:val="000B135A"/>
    <w:rsid w:val="000B13C3"/>
    <w:rsid w:val="000B1B5D"/>
    <w:rsid w:val="000B2719"/>
    <w:rsid w:val="000B3A8F"/>
    <w:rsid w:val="000B4AB9"/>
    <w:rsid w:val="000B58C3"/>
    <w:rsid w:val="000B61E9"/>
    <w:rsid w:val="000C038F"/>
    <w:rsid w:val="000C0D8A"/>
    <w:rsid w:val="000C165A"/>
    <w:rsid w:val="000C27C5"/>
    <w:rsid w:val="000C2E19"/>
    <w:rsid w:val="000C3B70"/>
    <w:rsid w:val="000C628F"/>
    <w:rsid w:val="000C7397"/>
    <w:rsid w:val="000D043C"/>
    <w:rsid w:val="000D0D07"/>
    <w:rsid w:val="000D2D69"/>
    <w:rsid w:val="000D4797"/>
    <w:rsid w:val="000D6C88"/>
    <w:rsid w:val="000E0527"/>
    <w:rsid w:val="000E14CD"/>
    <w:rsid w:val="000E1E92"/>
    <w:rsid w:val="000E2072"/>
    <w:rsid w:val="000E4FD6"/>
    <w:rsid w:val="000F06D6"/>
    <w:rsid w:val="000F0EB1"/>
    <w:rsid w:val="000F1106"/>
    <w:rsid w:val="000F311D"/>
    <w:rsid w:val="000F395E"/>
    <w:rsid w:val="000F3BE9"/>
    <w:rsid w:val="000F3F6C"/>
    <w:rsid w:val="000F6113"/>
    <w:rsid w:val="000F6DF3"/>
    <w:rsid w:val="001005FF"/>
    <w:rsid w:val="00100F45"/>
    <w:rsid w:val="001062FB"/>
    <w:rsid w:val="001063E6"/>
    <w:rsid w:val="00110233"/>
    <w:rsid w:val="001112D9"/>
    <w:rsid w:val="00111C55"/>
    <w:rsid w:val="00113CF4"/>
    <w:rsid w:val="001148DE"/>
    <w:rsid w:val="00115204"/>
    <w:rsid w:val="001153EA"/>
    <w:rsid w:val="00115643"/>
    <w:rsid w:val="001163DE"/>
    <w:rsid w:val="001165DF"/>
    <w:rsid w:val="00116765"/>
    <w:rsid w:val="001175E7"/>
    <w:rsid w:val="00121646"/>
    <w:rsid w:val="001219F5"/>
    <w:rsid w:val="00121A20"/>
    <w:rsid w:val="0012377F"/>
    <w:rsid w:val="00124314"/>
    <w:rsid w:val="001247A9"/>
    <w:rsid w:val="00126B4A"/>
    <w:rsid w:val="001270D3"/>
    <w:rsid w:val="00131181"/>
    <w:rsid w:val="00132FD0"/>
    <w:rsid w:val="00133046"/>
    <w:rsid w:val="001344C0"/>
    <w:rsid w:val="001346FA"/>
    <w:rsid w:val="00134A8A"/>
    <w:rsid w:val="00135252"/>
    <w:rsid w:val="00137728"/>
    <w:rsid w:val="00137AB5"/>
    <w:rsid w:val="00137F0B"/>
    <w:rsid w:val="0014242A"/>
    <w:rsid w:val="00143008"/>
    <w:rsid w:val="00143981"/>
    <w:rsid w:val="00144C35"/>
    <w:rsid w:val="00145437"/>
    <w:rsid w:val="0014787F"/>
    <w:rsid w:val="001501DF"/>
    <w:rsid w:val="00151E23"/>
    <w:rsid w:val="001526E0"/>
    <w:rsid w:val="00154F6F"/>
    <w:rsid w:val="001551B5"/>
    <w:rsid w:val="00156C41"/>
    <w:rsid w:val="001619D5"/>
    <w:rsid w:val="00161D58"/>
    <w:rsid w:val="0016231E"/>
    <w:rsid w:val="00162B29"/>
    <w:rsid w:val="001659C1"/>
    <w:rsid w:val="00165F18"/>
    <w:rsid w:val="0016637B"/>
    <w:rsid w:val="00173A8E"/>
    <w:rsid w:val="00177587"/>
    <w:rsid w:val="0018143F"/>
    <w:rsid w:val="00186A03"/>
    <w:rsid w:val="0018795B"/>
    <w:rsid w:val="00187E11"/>
    <w:rsid w:val="00190AC1"/>
    <w:rsid w:val="001913A5"/>
    <w:rsid w:val="0019341A"/>
    <w:rsid w:val="001938B0"/>
    <w:rsid w:val="00193CFB"/>
    <w:rsid w:val="00193E67"/>
    <w:rsid w:val="0019501B"/>
    <w:rsid w:val="001955A4"/>
    <w:rsid w:val="00196A97"/>
    <w:rsid w:val="00197DF9"/>
    <w:rsid w:val="001A1987"/>
    <w:rsid w:val="001A2564"/>
    <w:rsid w:val="001A2B06"/>
    <w:rsid w:val="001A3BFF"/>
    <w:rsid w:val="001A3E31"/>
    <w:rsid w:val="001A6173"/>
    <w:rsid w:val="001A65E5"/>
    <w:rsid w:val="001A6CBA"/>
    <w:rsid w:val="001B0565"/>
    <w:rsid w:val="001B0D97"/>
    <w:rsid w:val="001B5861"/>
    <w:rsid w:val="001B5A5D"/>
    <w:rsid w:val="001B644E"/>
    <w:rsid w:val="001B6A72"/>
    <w:rsid w:val="001C012C"/>
    <w:rsid w:val="001C06B5"/>
    <w:rsid w:val="001C14B6"/>
    <w:rsid w:val="001C1CE5"/>
    <w:rsid w:val="001C3D2A"/>
    <w:rsid w:val="001C4B0F"/>
    <w:rsid w:val="001C4EEE"/>
    <w:rsid w:val="001C5759"/>
    <w:rsid w:val="001D07CF"/>
    <w:rsid w:val="001D0E26"/>
    <w:rsid w:val="001D20C3"/>
    <w:rsid w:val="001D37B3"/>
    <w:rsid w:val="001D4451"/>
    <w:rsid w:val="001D49D4"/>
    <w:rsid w:val="001D51BA"/>
    <w:rsid w:val="001D61A9"/>
    <w:rsid w:val="001D6342"/>
    <w:rsid w:val="001D6D53"/>
    <w:rsid w:val="001E0114"/>
    <w:rsid w:val="001E58E2"/>
    <w:rsid w:val="001E7AED"/>
    <w:rsid w:val="001F1F08"/>
    <w:rsid w:val="001F2101"/>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52E"/>
    <w:rsid w:val="00223FCB"/>
    <w:rsid w:val="002252C3"/>
    <w:rsid w:val="00225C54"/>
    <w:rsid w:val="00230765"/>
    <w:rsid w:val="002307B5"/>
    <w:rsid w:val="00230D6D"/>
    <w:rsid w:val="002319E4"/>
    <w:rsid w:val="00233651"/>
    <w:rsid w:val="00235632"/>
    <w:rsid w:val="00235872"/>
    <w:rsid w:val="00235FBB"/>
    <w:rsid w:val="00236BF5"/>
    <w:rsid w:val="00241559"/>
    <w:rsid w:val="00241E63"/>
    <w:rsid w:val="00242E46"/>
    <w:rsid w:val="002435B3"/>
    <w:rsid w:val="002458EB"/>
    <w:rsid w:val="002500C8"/>
    <w:rsid w:val="00250523"/>
    <w:rsid w:val="002518D0"/>
    <w:rsid w:val="002555D1"/>
    <w:rsid w:val="002556A1"/>
    <w:rsid w:val="00255D91"/>
    <w:rsid w:val="00255E13"/>
    <w:rsid w:val="00257543"/>
    <w:rsid w:val="002617E7"/>
    <w:rsid w:val="00263B20"/>
    <w:rsid w:val="00264228"/>
    <w:rsid w:val="00264334"/>
    <w:rsid w:val="0026473E"/>
    <w:rsid w:val="00266214"/>
    <w:rsid w:val="00267C83"/>
    <w:rsid w:val="0027144F"/>
    <w:rsid w:val="00271874"/>
    <w:rsid w:val="00271899"/>
    <w:rsid w:val="00271F3A"/>
    <w:rsid w:val="002724CD"/>
    <w:rsid w:val="00273278"/>
    <w:rsid w:val="002737F4"/>
    <w:rsid w:val="00273CED"/>
    <w:rsid w:val="00274EB1"/>
    <w:rsid w:val="002763C9"/>
    <w:rsid w:val="00276EF5"/>
    <w:rsid w:val="002805F5"/>
    <w:rsid w:val="00280751"/>
    <w:rsid w:val="0028280A"/>
    <w:rsid w:val="002828DA"/>
    <w:rsid w:val="00286ACD"/>
    <w:rsid w:val="00287838"/>
    <w:rsid w:val="002907B5"/>
    <w:rsid w:val="00292DF8"/>
    <w:rsid w:val="00292EB7"/>
    <w:rsid w:val="002952DF"/>
    <w:rsid w:val="00295E23"/>
    <w:rsid w:val="00296227"/>
    <w:rsid w:val="0029692D"/>
    <w:rsid w:val="00296F44"/>
    <w:rsid w:val="0029777D"/>
    <w:rsid w:val="002A055E"/>
    <w:rsid w:val="002A1D4E"/>
    <w:rsid w:val="002A2869"/>
    <w:rsid w:val="002A5CC4"/>
    <w:rsid w:val="002B0D5D"/>
    <w:rsid w:val="002B24D6"/>
    <w:rsid w:val="002B29BA"/>
    <w:rsid w:val="002B623B"/>
    <w:rsid w:val="002C0F0F"/>
    <w:rsid w:val="002C3862"/>
    <w:rsid w:val="002C41E6"/>
    <w:rsid w:val="002C52C8"/>
    <w:rsid w:val="002C5ACF"/>
    <w:rsid w:val="002D071A"/>
    <w:rsid w:val="002D34B2"/>
    <w:rsid w:val="002D3E97"/>
    <w:rsid w:val="002D5437"/>
    <w:rsid w:val="002D558E"/>
    <w:rsid w:val="002D5F0F"/>
    <w:rsid w:val="002D7637"/>
    <w:rsid w:val="002E0147"/>
    <w:rsid w:val="002E17DE"/>
    <w:rsid w:val="002E17F2"/>
    <w:rsid w:val="002E1D64"/>
    <w:rsid w:val="002E243B"/>
    <w:rsid w:val="002E6860"/>
    <w:rsid w:val="002E6C0D"/>
    <w:rsid w:val="002E7CAE"/>
    <w:rsid w:val="002F2771"/>
    <w:rsid w:val="002F37A9"/>
    <w:rsid w:val="002F7DA2"/>
    <w:rsid w:val="00301BCF"/>
    <w:rsid w:val="00301CE6"/>
    <w:rsid w:val="0030246E"/>
    <w:rsid w:val="0030256B"/>
    <w:rsid w:val="0030450F"/>
    <w:rsid w:val="0030501F"/>
    <w:rsid w:val="00307BA1"/>
    <w:rsid w:val="00311702"/>
    <w:rsid w:val="00311E82"/>
    <w:rsid w:val="00311F20"/>
    <w:rsid w:val="00313ADF"/>
    <w:rsid w:val="00313E83"/>
    <w:rsid w:val="00313FD6"/>
    <w:rsid w:val="003140FC"/>
    <w:rsid w:val="003143BD"/>
    <w:rsid w:val="003203ED"/>
    <w:rsid w:val="0032131B"/>
    <w:rsid w:val="00322C9F"/>
    <w:rsid w:val="0032460C"/>
    <w:rsid w:val="00324D23"/>
    <w:rsid w:val="00326EC3"/>
    <w:rsid w:val="00327983"/>
    <w:rsid w:val="00330B5F"/>
    <w:rsid w:val="00331489"/>
    <w:rsid w:val="00331751"/>
    <w:rsid w:val="0033257B"/>
    <w:rsid w:val="00334579"/>
    <w:rsid w:val="00335858"/>
    <w:rsid w:val="00336BDA"/>
    <w:rsid w:val="00337E12"/>
    <w:rsid w:val="00341E28"/>
    <w:rsid w:val="00341FAF"/>
    <w:rsid w:val="00342681"/>
    <w:rsid w:val="00342BD7"/>
    <w:rsid w:val="0034420A"/>
    <w:rsid w:val="0034438B"/>
    <w:rsid w:val="00346DB5"/>
    <w:rsid w:val="003477B1"/>
    <w:rsid w:val="00356B2C"/>
    <w:rsid w:val="00356C79"/>
    <w:rsid w:val="00357380"/>
    <w:rsid w:val="00357939"/>
    <w:rsid w:val="00360071"/>
    <w:rsid w:val="003602D9"/>
    <w:rsid w:val="003604CE"/>
    <w:rsid w:val="00362A17"/>
    <w:rsid w:val="00365B8A"/>
    <w:rsid w:val="00370E47"/>
    <w:rsid w:val="00371997"/>
    <w:rsid w:val="00373902"/>
    <w:rsid w:val="00373EEF"/>
    <w:rsid w:val="003742AC"/>
    <w:rsid w:val="00375476"/>
    <w:rsid w:val="00377117"/>
    <w:rsid w:val="00377CE1"/>
    <w:rsid w:val="00381B3C"/>
    <w:rsid w:val="00381F5A"/>
    <w:rsid w:val="0038254D"/>
    <w:rsid w:val="00385BF0"/>
    <w:rsid w:val="00385E02"/>
    <w:rsid w:val="00390400"/>
    <w:rsid w:val="0039066C"/>
    <w:rsid w:val="003939FF"/>
    <w:rsid w:val="00395801"/>
    <w:rsid w:val="003977DD"/>
    <w:rsid w:val="003A2223"/>
    <w:rsid w:val="003A2983"/>
    <w:rsid w:val="003A2A0F"/>
    <w:rsid w:val="003A45A1"/>
    <w:rsid w:val="003A5186"/>
    <w:rsid w:val="003A5B0A"/>
    <w:rsid w:val="003A6BAC"/>
    <w:rsid w:val="003A6F87"/>
    <w:rsid w:val="003A7EF3"/>
    <w:rsid w:val="003A7F3C"/>
    <w:rsid w:val="003B05A5"/>
    <w:rsid w:val="003B0C87"/>
    <w:rsid w:val="003B159C"/>
    <w:rsid w:val="003B369F"/>
    <w:rsid w:val="003B36A3"/>
    <w:rsid w:val="003B4CA0"/>
    <w:rsid w:val="003B4CB7"/>
    <w:rsid w:val="003B7FE5"/>
    <w:rsid w:val="003C11C8"/>
    <w:rsid w:val="003C1B54"/>
    <w:rsid w:val="003C2702"/>
    <w:rsid w:val="003C4CE3"/>
    <w:rsid w:val="003C672E"/>
    <w:rsid w:val="003C7806"/>
    <w:rsid w:val="003D0396"/>
    <w:rsid w:val="003D109F"/>
    <w:rsid w:val="003D1EBD"/>
    <w:rsid w:val="003D2478"/>
    <w:rsid w:val="003D301E"/>
    <w:rsid w:val="003D3754"/>
    <w:rsid w:val="003D3C45"/>
    <w:rsid w:val="003D5B1F"/>
    <w:rsid w:val="003D5BCD"/>
    <w:rsid w:val="003E0C14"/>
    <w:rsid w:val="003E0F3D"/>
    <w:rsid w:val="003E15FA"/>
    <w:rsid w:val="003E55E4"/>
    <w:rsid w:val="003E74E3"/>
    <w:rsid w:val="003F05C7"/>
    <w:rsid w:val="003F13DE"/>
    <w:rsid w:val="003F2CD4"/>
    <w:rsid w:val="003F3068"/>
    <w:rsid w:val="003F6BBE"/>
    <w:rsid w:val="004000E8"/>
    <w:rsid w:val="00400A95"/>
    <w:rsid w:val="00400FCB"/>
    <w:rsid w:val="00402E2B"/>
    <w:rsid w:val="00404507"/>
    <w:rsid w:val="0040512B"/>
    <w:rsid w:val="00405CA5"/>
    <w:rsid w:val="004077E8"/>
    <w:rsid w:val="00407AB5"/>
    <w:rsid w:val="00407C4B"/>
    <w:rsid w:val="00407CD3"/>
    <w:rsid w:val="00410134"/>
    <w:rsid w:val="004102BC"/>
    <w:rsid w:val="00410B72"/>
    <w:rsid w:val="00410F18"/>
    <w:rsid w:val="004117A3"/>
    <w:rsid w:val="0041263E"/>
    <w:rsid w:val="00412F4A"/>
    <w:rsid w:val="00413AAC"/>
    <w:rsid w:val="00421105"/>
    <w:rsid w:val="00422C5A"/>
    <w:rsid w:val="004242F4"/>
    <w:rsid w:val="004246EC"/>
    <w:rsid w:val="00424BAB"/>
    <w:rsid w:val="00427248"/>
    <w:rsid w:val="00427637"/>
    <w:rsid w:val="00430B45"/>
    <w:rsid w:val="00430D13"/>
    <w:rsid w:val="0043200E"/>
    <w:rsid w:val="004328C2"/>
    <w:rsid w:val="00432CFF"/>
    <w:rsid w:val="004358F0"/>
    <w:rsid w:val="00436B32"/>
    <w:rsid w:val="00437447"/>
    <w:rsid w:val="004405E2"/>
    <w:rsid w:val="00441134"/>
    <w:rsid w:val="00441A92"/>
    <w:rsid w:val="004428EF"/>
    <w:rsid w:val="00444F56"/>
    <w:rsid w:val="0044528E"/>
    <w:rsid w:val="00446488"/>
    <w:rsid w:val="00451122"/>
    <w:rsid w:val="004517AA"/>
    <w:rsid w:val="00452819"/>
    <w:rsid w:val="00452CAC"/>
    <w:rsid w:val="00452E9A"/>
    <w:rsid w:val="00454DAD"/>
    <w:rsid w:val="00457565"/>
    <w:rsid w:val="00457B71"/>
    <w:rsid w:val="00465F86"/>
    <w:rsid w:val="004669E2"/>
    <w:rsid w:val="00470C31"/>
    <w:rsid w:val="00471341"/>
    <w:rsid w:val="00471ED7"/>
    <w:rsid w:val="004734D0"/>
    <w:rsid w:val="0047475A"/>
    <w:rsid w:val="00474846"/>
    <w:rsid w:val="0047556B"/>
    <w:rsid w:val="00475D5C"/>
    <w:rsid w:val="00477768"/>
    <w:rsid w:val="004807EE"/>
    <w:rsid w:val="00482840"/>
    <w:rsid w:val="00483BB6"/>
    <w:rsid w:val="004857CB"/>
    <w:rsid w:val="00486ACF"/>
    <w:rsid w:val="00487960"/>
    <w:rsid w:val="00492BC5"/>
    <w:rsid w:val="00494C1F"/>
    <w:rsid w:val="004961FA"/>
    <w:rsid w:val="00496349"/>
    <w:rsid w:val="004964F1"/>
    <w:rsid w:val="00497F83"/>
    <w:rsid w:val="004A16BC"/>
    <w:rsid w:val="004A1B86"/>
    <w:rsid w:val="004A2B94"/>
    <w:rsid w:val="004A3021"/>
    <w:rsid w:val="004A7D56"/>
    <w:rsid w:val="004B72BA"/>
    <w:rsid w:val="004B7C0C"/>
    <w:rsid w:val="004C379F"/>
    <w:rsid w:val="004C3898"/>
    <w:rsid w:val="004C4763"/>
    <w:rsid w:val="004C7E2C"/>
    <w:rsid w:val="004D10C4"/>
    <w:rsid w:val="004D1E06"/>
    <w:rsid w:val="004D20EB"/>
    <w:rsid w:val="004D36B1"/>
    <w:rsid w:val="004D7EBD"/>
    <w:rsid w:val="004E06AF"/>
    <w:rsid w:val="004E07D5"/>
    <w:rsid w:val="004E1AF8"/>
    <w:rsid w:val="004E2680"/>
    <w:rsid w:val="004E28F9"/>
    <w:rsid w:val="004E462E"/>
    <w:rsid w:val="004E56DC"/>
    <w:rsid w:val="004E76F4"/>
    <w:rsid w:val="004F0979"/>
    <w:rsid w:val="004F0B4E"/>
    <w:rsid w:val="004F0B6C"/>
    <w:rsid w:val="004F0E13"/>
    <w:rsid w:val="004F0F89"/>
    <w:rsid w:val="004F14EE"/>
    <w:rsid w:val="004F2078"/>
    <w:rsid w:val="004F4DA3"/>
    <w:rsid w:val="004F5277"/>
    <w:rsid w:val="004F5AA4"/>
    <w:rsid w:val="004F6787"/>
    <w:rsid w:val="004F68E8"/>
    <w:rsid w:val="004F6FE0"/>
    <w:rsid w:val="0050342A"/>
    <w:rsid w:val="00504B48"/>
    <w:rsid w:val="00506557"/>
    <w:rsid w:val="0050677A"/>
    <w:rsid w:val="00506BBB"/>
    <w:rsid w:val="005101EC"/>
    <w:rsid w:val="005108D8"/>
    <w:rsid w:val="00510F41"/>
    <w:rsid w:val="005116F9"/>
    <w:rsid w:val="00512EAA"/>
    <w:rsid w:val="005153A7"/>
    <w:rsid w:val="00515865"/>
    <w:rsid w:val="0051612F"/>
    <w:rsid w:val="00517AD0"/>
    <w:rsid w:val="00520159"/>
    <w:rsid w:val="00520B35"/>
    <w:rsid w:val="00520D36"/>
    <w:rsid w:val="005219CF"/>
    <w:rsid w:val="00527027"/>
    <w:rsid w:val="00530FD1"/>
    <w:rsid w:val="00531FAF"/>
    <w:rsid w:val="005323E5"/>
    <w:rsid w:val="00532684"/>
    <w:rsid w:val="00532CBD"/>
    <w:rsid w:val="00534B59"/>
    <w:rsid w:val="00536759"/>
    <w:rsid w:val="00537C62"/>
    <w:rsid w:val="005402D6"/>
    <w:rsid w:val="00546970"/>
    <w:rsid w:val="00547D9C"/>
    <w:rsid w:val="0055231F"/>
    <w:rsid w:val="00554E19"/>
    <w:rsid w:val="0055652E"/>
    <w:rsid w:val="00557A2C"/>
    <w:rsid w:val="0056121F"/>
    <w:rsid w:val="00564B7E"/>
    <w:rsid w:val="00565488"/>
    <w:rsid w:val="00566537"/>
    <w:rsid w:val="00566A7D"/>
    <w:rsid w:val="00567015"/>
    <w:rsid w:val="0057064B"/>
    <w:rsid w:val="00570A55"/>
    <w:rsid w:val="005710C1"/>
    <w:rsid w:val="00572505"/>
    <w:rsid w:val="0057260D"/>
    <w:rsid w:val="005743A5"/>
    <w:rsid w:val="00582809"/>
    <w:rsid w:val="00584948"/>
    <w:rsid w:val="0058798C"/>
    <w:rsid w:val="00587FA9"/>
    <w:rsid w:val="005900FA"/>
    <w:rsid w:val="00592F25"/>
    <w:rsid w:val="005935A4"/>
    <w:rsid w:val="00593BBF"/>
    <w:rsid w:val="005948C2"/>
    <w:rsid w:val="00595DCA"/>
    <w:rsid w:val="0059779B"/>
    <w:rsid w:val="005A209A"/>
    <w:rsid w:val="005A288A"/>
    <w:rsid w:val="005A662D"/>
    <w:rsid w:val="005A68BA"/>
    <w:rsid w:val="005B04A1"/>
    <w:rsid w:val="005B1CDF"/>
    <w:rsid w:val="005B35D7"/>
    <w:rsid w:val="005B392A"/>
    <w:rsid w:val="005B3AA3"/>
    <w:rsid w:val="005B45B5"/>
    <w:rsid w:val="005B64F8"/>
    <w:rsid w:val="005B6F83"/>
    <w:rsid w:val="005B7576"/>
    <w:rsid w:val="005C1729"/>
    <w:rsid w:val="005C74FB"/>
    <w:rsid w:val="005D1602"/>
    <w:rsid w:val="005D3406"/>
    <w:rsid w:val="005D6F32"/>
    <w:rsid w:val="005E1503"/>
    <w:rsid w:val="005E385F"/>
    <w:rsid w:val="005E3CCA"/>
    <w:rsid w:val="005E3EAF"/>
    <w:rsid w:val="005E53EE"/>
    <w:rsid w:val="005E5834"/>
    <w:rsid w:val="005E5B81"/>
    <w:rsid w:val="005E673D"/>
    <w:rsid w:val="005F2CB1"/>
    <w:rsid w:val="005F3025"/>
    <w:rsid w:val="005F52C3"/>
    <w:rsid w:val="005F53F2"/>
    <w:rsid w:val="005F618C"/>
    <w:rsid w:val="005F70BD"/>
    <w:rsid w:val="00600C65"/>
    <w:rsid w:val="00600F6A"/>
    <w:rsid w:val="006010AD"/>
    <w:rsid w:val="0060283C"/>
    <w:rsid w:val="00602907"/>
    <w:rsid w:val="00603050"/>
    <w:rsid w:val="00604F14"/>
    <w:rsid w:val="00605BE1"/>
    <w:rsid w:val="00605DD4"/>
    <w:rsid w:val="006119E8"/>
    <w:rsid w:val="00611B83"/>
    <w:rsid w:val="00613257"/>
    <w:rsid w:val="00614409"/>
    <w:rsid w:val="00615440"/>
    <w:rsid w:val="006157F0"/>
    <w:rsid w:val="00615B9D"/>
    <w:rsid w:val="0061697C"/>
    <w:rsid w:val="0061724D"/>
    <w:rsid w:val="00620A71"/>
    <w:rsid w:val="00620D80"/>
    <w:rsid w:val="006234A6"/>
    <w:rsid w:val="00623923"/>
    <w:rsid w:val="00625808"/>
    <w:rsid w:val="00630001"/>
    <w:rsid w:val="006311B3"/>
    <w:rsid w:val="00631F81"/>
    <w:rsid w:val="0063284C"/>
    <w:rsid w:val="006360B8"/>
    <w:rsid w:val="00636398"/>
    <w:rsid w:val="006368D3"/>
    <w:rsid w:val="00637518"/>
    <w:rsid w:val="006377EC"/>
    <w:rsid w:val="0064151F"/>
    <w:rsid w:val="00641533"/>
    <w:rsid w:val="00641D36"/>
    <w:rsid w:val="0064208D"/>
    <w:rsid w:val="00642EF2"/>
    <w:rsid w:val="00643475"/>
    <w:rsid w:val="0064396A"/>
    <w:rsid w:val="006439EF"/>
    <w:rsid w:val="00644194"/>
    <w:rsid w:val="0064485F"/>
    <w:rsid w:val="00644F5F"/>
    <w:rsid w:val="00645491"/>
    <w:rsid w:val="00645A6D"/>
    <w:rsid w:val="00646058"/>
    <w:rsid w:val="0064624E"/>
    <w:rsid w:val="00647EE2"/>
    <w:rsid w:val="00650AB9"/>
    <w:rsid w:val="0065154C"/>
    <w:rsid w:val="006526EE"/>
    <w:rsid w:val="00652A01"/>
    <w:rsid w:val="00654461"/>
    <w:rsid w:val="00655394"/>
    <w:rsid w:val="00655733"/>
    <w:rsid w:val="00655ACD"/>
    <w:rsid w:val="00656A92"/>
    <w:rsid w:val="00656DDE"/>
    <w:rsid w:val="00656EB3"/>
    <w:rsid w:val="0066011D"/>
    <w:rsid w:val="006607C0"/>
    <w:rsid w:val="006613A6"/>
    <w:rsid w:val="006627A2"/>
    <w:rsid w:val="0066290B"/>
    <w:rsid w:val="006634E6"/>
    <w:rsid w:val="006655EE"/>
    <w:rsid w:val="00666EF0"/>
    <w:rsid w:val="00667122"/>
    <w:rsid w:val="00667EE7"/>
    <w:rsid w:val="00670922"/>
    <w:rsid w:val="00670BE1"/>
    <w:rsid w:val="0067218F"/>
    <w:rsid w:val="006741F2"/>
    <w:rsid w:val="00674CC3"/>
    <w:rsid w:val="0067562F"/>
    <w:rsid w:val="00675C72"/>
    <w:rsid w:val="006771F9"/>
    <w:rsid w:val="00677351"/>
    <w:rsid w:val="006776D7"/>
    <w:rsid w:val="00681003"/>
    <w:rsid w:val="006817C9"/>
    <w:rsid w:val="00683ECE"/>
    <w:rsid w:val="00686480"/>
    <w:rsid w:val="006873CF"/>
    <w:rsid w:val="00687C0B"/>
    <w:rsid w:val="00695FAE"/>
    <w:rsid w:val="00695FC2"/>
    <w:rsid w:val="006967F7"/>
    <w:rsid w:val="00696949"/>
    <w:rsid w:val="00697052"/>
    <w:rsid w:val="006979A5"/>
    <w:rsid w:val="006A46FB"/>
    <w:rsid w:val="006A5E28"/>
    <w:rsid w:val="006A697B"/>
    <w:rsid w:val="006A7AFF"/>
    <w:rsid w:val="006B0BB5"/>
    <w:rsid w:val="006B11EC"/>
    <w:rsid w:val="006B16B5"/>
    <w:rsid w:val="006B1816"/>
    <w:rsid w:val="006B2099"/>
    <w:rsid w:val="006B50CF"/>
    <w:rsid w:val="006B67E5"/>
    <w:rsid w:val="006B72E3"/>
    <w:rsid w:val="006C03B8"/>
    <w:rsid w:val="006C14EE"/>
    <w:rsid w:val="006C3CC0"/>
    <w:rsid w:val="006C5EC9"/>
    <w:rsid w:val="006C6059"/>
    <w:rsid w:val="006C728F"/>
    <w:rsid w:val="006C7522"/>
    <w:rsid w:val="006D1662"/>
    <w:rsid w:val="006D1BB3"/>
    <w:rsid w:val="006D43DA"/>
    <w:rsid w:val="006D571C"/>
    <w:rsid w:val="006D5B70"/>
    <w:rsid w:val="006D5D33"/>
    <w:rsid w:val="006D5F1C"/>
    <w:rsid w:val="006D6F08"/>
    <w:rsid w:val="006E062C"/>
    <w:rsid w:val="006E28B7"/>
    <w:rsid w:val="006E3310"/>
    <w:rsid w:val="006E4AAA"/>
    <w:rsid w:val="006E4E39"/>
    <w:rsid w:val="006E565E"/>
    <w:rsid w:val="006E673D"/>
    <w:rsid w:val="006E7D3B"/>
    <w:rsid w:val="006F08F0"/>
    <w:rsid w:val="006F0F8A"/>
    <w:rsid w:val="006F1B70"/>
    <w:rsid w:val="006F250B"/>
    <w:rsid w:val="006F341D"/>
    <w:rsid w:val="006F3CDE"/>
    <w:rsid w:val="006F3E1D"/>
    <w:rsid w:val="006F58D4"/>
    <w:rsid w:val="006F7DE7"/>
    <w:rsid w:val="007006BE"/>
    <w:rsid w:val="00700EEE"/>
    <w:rsid w:val="0070346E"/>
    <w:rsid w:val="00704EDB"/>
    <w:rsid w:val="00704FB5"/>
    <w:rsid w:val="00706101"/>
    <w:rsid w:val="00706393"/>
    <w:rsid w:val="00707072"/>
    <w:rsid w:val="00707D61"/>
    <w:rsid w:val="00712287"/>
    <w:rsid w:val="00712581"/>
    <w:rsid w:val="00712772"/>
    <w:rsid w:val="007148D3"/>
    <w:rsid w:val="00715B9A"/>
    <w:rsid w:val="007163AE"/>
    <w:rsid w:val="00717268"/>
    <w:rsid w:val="00717B7C"/>
    <w:rsid w:val="00720B7B"/>
    <w:rsid w:val="00722793"/>
    <w:rsid w:val="00726EA6"/>
    <w:rsid w:val="00727208"/>
    <w:rsid w:val="00727680"/>
    <w:rsid w:val="00727CA8"/>
    <w:rsid w:val="007325A6"/>
    <w:rsid w:val="00732BA4"/>
    <w:rsid w:val="007348B1"/>
    <w:rsid w:val="00735268"/>
    <w:rsid w:val="007356B9"/>
    <w:rsid w:val="007362A6"/>
    <w:rsid w:val="00736D7D"/>
    <w:rsid w:val="007376C6"/>
    <w:rsid w:val="00740E58"/>
    <w:rsid w:val="00741264"/>
    <w:rsid w:val="0074428B"/>
    <w:rsid w:val="007445A0"/>
    <w:rsid w:val="00744A9E"/>
    <w:rsid w:val="0074524B"/>
    <w:rsid w:val="00745763"/>
    <w:rsid w:val="00746D35"/>
    <w:rsid w:val="00747D8B"/>
    <w:rsid w:val="007508A2"/>
    <w:rsid w:val="00751228"/>
    <w:rsid w:val="00754CF2"/>
    <w:rsid w:val="00756BE6"/>
    <w:rsid w:val="007571E1"/>
    <w:rsid w:val="007600BF"/>
    <w:rsid w:val="007604B2"/>
    <w:rsid w:val="00765281"/>
    <w:rsid w:val="00766BAD"/>
    <w:rsid w:val="0076708C"/>
    <w:rsid w:val="007743E7"/>
    <w:rsid w:val="007746F2"/>
    <w:rsid w:val="0077488B"/>
    <w:rsid w:val="007755F2"/>
    <w:rsid w:val="00776971"/>
    <w:rsid w:val="0078177E"/>
    <w:rsid w:val="007823EE"/>
    <w:rsid w:val="00782E81"/>
    <w:rsid w:val="0078304C"/>
    <w:rsid w:val="00783673"/>
    <w:rsid w:val="007845FA"/>
    <w:rsid w:val="00784E9B"/>
    <w:rsid w:val="00785490"/>
    <w:rsid w:val="00786719"/>
    <w:rsid w:val="00790EEF"/>
    <w:rsid w:val="00791723"/>
    <w:rsid w:val="007925EA"/>
    <w:rsid w:val="0079296C"/>
    <w:rsid w:val="00793CD8"/>
    <w:rsid w:val="00795C92"/>
    <w:rsid w:val="00796231"/>
    <w:rsid w:val="007966F9"/>
    <w:rsid w:val="007A1CB3"/>
    <w:rsid w:val="007A306F"/>
    <w:rsid w:val="007A43A6"/>
    <w:rsid w:val="007A58A6"/>
    <w:rsid w:val="007B0147"/>
    <w:rsid w:val="007B3D2D"/>
    <w:rsid w:val="007B50AE"/>
    <w:rsid w:val="007B51DF"/>
    <w:rsid w:val="007C05DD"/>
    <w:rsid w:val="007C14B0"/>
    <w:rsid w:val="007C1C5E"/>
    <w:rsid w:val="007C1DDE"/>
    <w:rsid w:val="007C1DE0"/>
    <w:rsid w:val="007C23B3"/>
    <w:rsid w:val="007C3D18"/>
    <w:rsid w:val="007C60BF"/>
    <w:rsid w:val="007C6A07"/>
    <w:rsid w:val="007C75A1"/>
    <w:rsid w:val="007C77A5"/>
    <w:rsid w:val="007D0201"/>
    <w:rsid w:val="007D04E5"/>
    <w:rsid w:val="007D152C"/>
    <w:rsid w:val="007D524D"/>
    <w:rsid w:val="007D5901"/>
    <w:rsid w:val="007D7526"/>
    <w:rsid w:val="007E1DEB"/>
    <w:rsid w:val="007E298A"/>
    <w:rsid w:val="007E4610"/>
    <w:rsid w:val="007E4715"/>
    <w:rsid w:val="007E505B"/>
    <w:rsid w:val="007E7091"/>
    <w:rsid w:val="007E784D"/>
    <w:rsid w:val="007F0F17"/>
    <w:rsid w:val="007F60D8"/>
    <w:rsid w:val="007F6523"/>
    <w:rsid w:val="008020C6"/>
    <w:rsid w:val="008022E9"/>
    <w:rsid w:val="00803FAE"/>
    <w:rsid w:val="0080605F"/>
    <w:rsid w:val="00806225"/>
    <w:rsid w:val="008066E2"/>
    <w:rsid w:val="00807786"/>
    <w:rsid w:val="0081091E"/>
    <w:rsid w:val="0081144B"/>
    <w:rsid w:val="00811FCB"/>
    <w:rsid w:val="008158D6"/>
    <w:rsid w:val="00817196"/>
    <w:rsid w:val="00817C32"/>
    <w:rsid w:val="008235DB"/>
    <w:rsid w:val="00823BC9"/>
    <w:rsid w:val="00823C7F"/>
    <w:rsid w:val="00824AB4"/>
    <w:rsid w:val="00825C42"/>
    <w:rsid w:val="00825D25"/>
    <w:rsid w:val="00826C8B"/>
    <w:rsid w:val="00827D6F"/>
    <w:rsid w:val="00830DC2"/>
    <w:rsid w:val="008348CD"/>
    <w:rsid w:val="0083700D"/>
    <w:rsid w:val="008376AC"/>
    <w:rsid w:val="00840A40"/>
    <w:rsid w:val="008414AE"/>
    <w:rsid w:val="008444E8"/>
    <w:rsid w:val="00844E80"/>
    <w:rsid w:val="00846B7B"/>
    <w:rsid w:val="00846C88"/>
    <w:rsid w:val="00846FE7"/>
    <w:rsid w:val="00850FFC"/>
    <w:rsid w:val="00853357"/>
    <w:rsid w:val="00855D59"/>
    <w:rsid w:val="00856911"/>
    <w:rsid w:val="00857C85"/>
    <w:rsid w:val="008677FD"/>
    <w:rsid w:val="008706D4"/>
    <w:rsid w:val="00870F8A"/>
    <w:rsid w:val="00871707"/>
    <w:rsid w:val="0087175C"/>
    <w:rsid w:val="008719A4"/>
    <w:rsid w:val="00871D23"/>
    <w:rsid w:val="00873177"/>
    <w:rsid w:val="00873E1E"/>
    <w:rsid w:val="00874312"/>
    <w:rsid w:val="0087437C"/>
    <w:rsid w:val="0087450C"/>
    <w:rsid w:val="00875119"/>
    <w:rsid w:val="00875CD7"/>
    <w:rsid w:val="00876B4D"/>
    <w:rsid w:val="00877F18"/>
    <w:rsid w:val="00880248"/>
    <w:rsid w:val="008804A8"/>
    <w:rsid w:val="00882CA5"/>
    <w:rsid w:val="008842F2"/>
    <w:rsid w:val="00884BB3"/>
    <w:rsid w:val="0089150D"/>
    <w:rsid w:val="008949BC"/>
    <w:rsid w:val="00894A88"/>
    <w:rsid w:val="00895386"/>
    <w:rsid w:val="00896419"/>
    <w:rsid w:val="00896A00"/>
    <w:rsid w:val="008A0759"/>
    <w:rsid w:val="008A21FF"/>
    <w:rsid w:val="008A2CE2"/>
    <w:rsid w:val="008A30AC"/>
    <w:rsid w:val="008A44B8"/>
    <w:rsid w:val="008A51A8"/>
    <w:rsid w:val="008A54C7"/>
    <w:rsid w:val="008A54E0"/>
    <w:rsid w:val="008A77D8"/>
    <w:rsid w:val="008A7C4B"/>
    <w:rsid w:val="008B0483"/>
    <w:rsid w:val="008B120C"/>
    <w:rsid w:val="008B51A0"/>
    <w:rsid w:val="008B592A"/>
    <w:rsid w:val="008B7B5C"/>
    <w:rsid w:val="008C0C99"/>
    <w:rsid w:val="008C102B"/>
    <w:rsid w:val="008C2017"/>
    <w:rsid w:val="008C3368"/>
    <w:rsid w:val="008C3548"/>
    <w:rsid w:val="008C4958"/>
    <w:rsid w:val="008C4BAA"/>
    <w:rsid w:val="008C6AE8"/>
    <w:rsid w:val="008C6FAC"/>
    <w:rsid w:val="008C7573"/>
    <w:rsid w:val="008D19D7"/>
    <w:rsid w:val="008D34F1"/>
    <w:rsid w:val="008D39D8"/>
    <w:rsid w:val="008D5727"/>
    <w:rsid w:val="008D6D1A"/>
    <w:rsid w:val="008D6FC4"/>
    <w:rsid w:val="008D74B4"/>
    <w:rsid w:val="008E065E"/>
    <w:rsid w:val="008E0927"/>
    <w:rsid w:val="008E153D"/>
    <w:rsid w:val="008E1909"/>
    <w:rsid w:val="008E2C99"/>
    <w:rsid w:val="008E5B93"/>
    <w:rsid w:val="008E7B12"/>
    <w:rsid w:val="008F1EAB"/>
    <w:rsid w:val="008F33DC"/>
    <w:rsid w:val="008F477F"/>
    <w:rsid w:val="008F523A"/>
    <w:rsid w:val="008F58A4"/>
    <w:rsid w:val="008F5CCA"/>
    <w:rsid w:val="00900ECF"/>
    <w:rsid w:val="00902350"/>
    <w:rsid w:val="0090336B"/>
    <w:rsid w:val="009046CF"/>
    <w:rsid w:val="009053AA"/>
    <w:rsid w:val="0090544E"/>
    <w:rsid w:val="009055DC"/>
    <w:rsid w:val="00906939"/>
    <w:rsid w:val="00910B7D"/>
    <w:rsid w:val="00911DFB"/>
    <w:rsid w:val="009139D9"/>
    <w:rsid w:val="00913E71"/>
    <w:rsid w:val="00914AD8"/>
    <w:rsid w:val="009158A3"/>
    <w:rsid w:val="00916046"/>
    <w:rsid w:val="00916079"/>
    <w:rsid w:val="00916497"/>
    <w:rsid w:val="00917CE9"/>
    <w:rsid w:val="00920BF2"/>
    <w:rsid w:val="00921421"/>
    <w:rsid w:val="00922010"/>
    <w:rsid w:val="00923C5A"/>
    <w:rsid w:val="00923CB7"/>
    <w:rsid w:val="00924516"/>
    <w:rsid w:val="00927915"/>
    <w:rsid w:val="00931363"/>
    <w:rsid w:val="00931BD9"/>
    <w:rsid w:val="009325B5"/>
    <w:rsid w:val="009348E9"/>
    <w:rsid w:val="0093523B"/>
    <w:rsid w:val="00935485"/>
    <w:rsid w:val="009368F3"/>
    <w:rsid w:val="009414BC"/>
    <w:rsid w:val="00941636"/>
    <w:rsid w:val="00943742"/>
    <w:rsid w:val="00945C05"/>
    <w:rsid w:val="00946945"/>
    <w:rsid w:val="00947713"/>
    <w:rsid w:val="00947BF4"/>
    <w:rsid w:val="00950DE7"/>
    <w:rsid w:val="00950F60"/>
    <w:rsid w:val="00951AF2"/>
    <w:rsid w:val="00952E30"/>
    <w:rsid w:val="00953920"/>
    <w:rsid w:val="00953D47"/>
    <w:rsid w:val="00955FE8"/>
    <w:rsid w:val="0095681E"/>
    <w:rsid w:val="009572D4"/>
    <w:rsid w:val="00957B18"/>
    <w:rsid w:val="00961890"/>
    <w:rsid w:val="00961921"/>
    <w:rsid w:val="00962B73"/>
    <w:rsid w:val="0096430A"/>
    <w:rsid w:val="0096554B"/>
    <w:rsid w:val="0096584A"/>
    <w:rsid w:val="009675AA"/>
    <w:rsid w:val="00971F08"/>
    <w:rsid w:val="00975D73"/>
    <w:rsid w:val="00975D7D"/>
    <w:rsid w:val="0097603D"/>
    <w:rsid w:val="00976617"/>
    <w:rsid w:val="009768F5"/>
    <w:rsid w:val="00976949"/>
    <w:rsid w:val="00980477"/>
    <w:rsid w:val="00983BC4"/>
    <w:rsid w:val="00985253"/>
    <w:rsid w:val="009853B3"/>
    <w:rsid w:val="009861CA"/>
    <w:rsid w:val="00990630"/>
    <w:rsid w:val="0099153D"/>
    <w:rsid w:val="00991761"/>
    <w:rsid w:val="009925A4"/>
    <w:rsid w:val="009940CF"/>
    <w:rsid w:val="00994DCA"/>
    <w:rsid w:val="009960EC"/>
    <w:rsid w:val="009970DD"/>
    <w:rsid w:val="009976D3"/>
    <w:rsid w:val="009A04FA"/>
    <w:rsid w:val="009A0FBA"/>
    <w:rsid w:val="009A1601"/>
    <w:rsid w:val="009A2BD6"/>
    <w:rsid w:val="009A462D"/>
    <w:rsid w:val="009A584A"/>
    <w:rsid w:val="009A5CBA"/>
    <w:rsid w:val="009A7879"/>
    <w:rsid w:val="009A7E76"/>
    <w:rsid w:val="009B1F30"/>
    <w:rsid w:val="009B3AC2"/>
    <w:rsid w:val="009B4C70"/>
    <w:rsid w:val="009B4DF4"/>
    <w:rsid w:val="009B4F67"/>
    <w:rsid w:val="009B564E"/>
    <w:rsid w:val="009B7E87"/>
    <w:rsid w:val="009C22E9"/>
    <w:rsid w:val="009C28E1"/>
    <w:rsid w:val="009C403E"/>
    <w:rsid w:val="009C456E"/>
    <w:rsid w:val="009C6B78"/>
    <w:rsid w:val="009C7133"/>
    <w:rsid w:val="009D28AD"/>
    <w:rsid w:val="009D38B6"/>
    <w:rsid w:val="009D4FF0"/>
    <w:rsid w:val="009D703C"/>
    <w:rsid w:val="009D718F"/>
    <w:rsid w:val="009E003C"/>
    <w:rsid w:val="009E068F"/>
    <w:rsid w:val="009E14E0"/>
    <w:rsid w:val="009E2225"/>
    <w:rsid w:val="009E35DB"/>
    <w:rsid w:val="009E3C4E"/>
    <w:rsid w:val="009E47A3"/>
    <w:rsid w:val="009E6D77"/>
    <w:rsid w:val="009E7802"/>
    <w:rsid w:val="009F08F3"/>
    <w:rsid w:val="009F344F"/>
    <w:rsid w:val="009F40E2"/>
    <w:rsid w:val="009F7C60"/>
    <w:rsid w:val="009F7EC6"/>
    <w:rsid w:val="00A03892"/>
    <w:rsid w:val="00A04200"/>
    <w:rsid w:val="00A048A8"/>
    <w:rsid w:val="00A04F49"/>
    <w:rsid w:val="00A0684B"/>
    <w:rsid w:val="00A07A3D"/>
    <w:rsid w:val="00A12C5F"/>
    <w:rsid w:val="00A13E54"/>
    <w:rsid w:val="00A14603"/>
    <w:rsid w:val="00A17F63"/>
    <w:rsid w:val="00A20B9F"/>
    <w:rsid w:val="00A21852"/>
    <w:rsid w:val="00A2193B"/>
    <w:rsid w:val="00A2351A"/>
    <w:rsid w:val="00A23A3B"/>
    <w:rsid w:val="00A23B1D"/>
    <w:rsid w:val="00A24D5C"/>
    <w:rsid w:val="00A255D5"/>
    <w:rsid w:val="00A261E2"/>
    <w:rsid w:val="00A264A9"/>
    <w:rsid w:val="00A27785"/>
    <w:rsid w:val="00A30187"/>
    <w:rsid w:val="00A31C10"/>
    <w:rsid w:val="00A32298"/>
    <w:rsid w:val="00A33A44"/>
    <w:rsid w:val="00A3448A"/>
    <w:rsid w:val="00A34AFB"/>
    <w:rsid w:val="00A36297"/>
    <w:rsid w:val="00A3793A"/>
    <w:rsid w:val="00A41D1F"/>
    <w:rsid w:val="00A41E2B"/>
    <w:rsid w:val="00A4230C"/>
    <w:rsid w:val="00A4315B"/>
    <w:rsid w:val="00A45B74"/>
    <w:rsid w:val="00A45D6A"/>
    <w:rsid w:val="00A46EF6"/>
    <w:rsid w:val="00A506F6"/>
    <w:rsid w:val="00A52E1D"/>
    <w:rsid w:val="00A578C5"/>
    <w:rsid w:val="00A57A1E"/>
    <w:rsid w:val="00A61499"/>
    <w:rsid w:val="00A61B1C"/>
    <w:rsid w:val="00A62A77"/>
    <w:rsid w:val="00A63483"/>
    <w:rsid w:val="00A6469E"/>
    <w:rsid w:val="00A65024"/>
    <w:rsid w:val="00A657D7"/>
    <w:rsid w:val="00A660AC"/>
    <w:rsid w:val="00A67E6C"/>
    <w:rsid w:val="00A70288"/>
    <w:rsid w:val="00A7147C"/>
    <w:rsid w:val="00A71B99"/>
    <w:rsid w:val="00A739D0"/>
    <w:rsid w:val="00A749D8"/>
    <w:rsid w:val="00A761D4"/>
    <w:rsid w:val="00A77EC4"/>
    <w:rsid w:val="00A80760"/>
    <w:rsid w:val="00A828B5"/>
    <w:rsid w:val="00A842FB"/>
    <w:rsid w:val="00A86F98"/>
    <w:rsid w:val="00A87699"/>
    <w:rsid w:val="00A90FE6"/>
    <w:rsid w:val="00A92879"/>
    <w:rsid w:val="00A937F3"/>
    <w:rsid w:val="00A9442A"/>
    <w:rsid w:val="00A958A8"/>
    <w:rsid w:val="00A96181"/>
    <w:rsid w:val="00AA016F"/>
    <w:rsid w:val="00AA1733"/>
    <w:rsid w:val="00AA1ED6"/>
    <w:rsid w:val="00AA4F83"/>
    <w:rsid w:val="00AA51D6"/>
    <w:rsid w:val="00AA7770"/>
    <w:rsid w:val="00AA7BBE"/>
    <w:rsid w:val="00AB0745"/>
    <w:rsid w:val="00AB0BC8"/>
    <w:rsid w:val="00AB11CA"/>
    <w:rsid w:val="00AB14D9"/>
    <w:rsid w:val="00AB2E29"/>
    <w:rsid w:val="00AB4AB8"/>
    <w:rsid w:val="00AB655E"/>
    <w:rsid w:val="00AC007F"/>
    <w:rsid w:val="00AC0721"/>
    <w:rsid w:val="00AC1F93"/>
    <w:rsid w:val="00AC2ECD"/>
    <w:rsid w:val="00AC3119"/>
    <w:rsid w:val="00AC49FB"/>
    <w:rsid w:val="00AC510E"/>
    <w:rsid w:val="00AC5A10"/>
    <w:rsid w:val="00AD0401"/>
    <w:rsid w:val="00AD0AA3"/>
    <w:rsid w:val="00AD1D0F"/>
    <w:rsid w:val="00AD3F94"/>
    <w:rsid w:val="00AD4A5A"/>
    <w:rsid w:val="00AD69D8"/>
    <w:rsid w:val="00AD744F"/>
    <w:rsid w:val="00AE0350"/>
    <w:rsid w:val="00AE27AC"/>
    <w:rsid w:val="00AE40E0"/>
    <w:rsid w:val="00AE4DBA"/>
    <w:rsid w:val="00AE4E8D"/>
    <w:rsid w:val="00AE4F07"/>
    <w:rsid w:val="00AE795A"/>
    <w:rsid w:val="00AE7C50"/>
    <w:rsid w:val="00AF1C5D"/>
    <w:rsid w:val="00AF42D7"/>
    <w:rsid w:val="00AF4850"/>
    <w:rsid w:val="00AF4EA5"/>
    <w:rsid w:val="00AF6823"/>
    <w:rsid w:val="00AF70B2"/>
    <w:rsid w:val="00B00164"/>
    <w:rsid w:val="00B006FE"/>
    <w:rsid w:val="00B007CB"/>
    <w:rsid w:val="00B02AA9"/>
    <w:rsid w:val="00B02FA3"/>
    <w:rsid w:val="00B034A3"/>
    <w:rsid w:val="00B04B2F"/>
    <w:rsid w:val="00B05084"/>
    <w:rsid w:val="00B052B3"/>
    <w:rsid w:val="00B157F9"/>
    <w:rsid w:val="00B16AFE"/>
    <w:rsid w:val="00B16D1C"/>
    <w:rsid w:val="00B1716C"/>
    <w:rsid w:val="00B20256"/>
    <w:rsid w:val="00B20D09"/>
    <w:rsid w:val="00B222B8"/>
    <w:rsid w:val="00B241B6"/>
    <w:rsid w:val="00B2763F"/>
    <w:rsid w:val="00B27AAC"/>
    <w:rsid w:val="00B30929"/>
    <w:rsid w:val="00B337DA"/>
    <w:rsid w:val="00B344C8"/>
    <w:rsid w:val="00B34E8B"/>
    <w:rsid w:val="00B35F8B"/>
    <w:rsid w:val="00B362FC"/>
    <w:rsid w:val="00B372AA"/>
    <w:rsid w:val="00B40445"/>
    <w:rsid w:val="00B41888"/>
    <w:rsid w:val="00B42C88"/>
    <w:rsid w:val="00B436F4"/>
    <w:rsid w:val="00B45A52"/>
    <w:rsid w:val="00B46175"/>
    <w:rsid w:val="00B563F3"/>
    <w:rsid w:val="00B6605B"/>
    <w:rsid w:val="00B664C7"/>
    <w:rsid w:val="00B72152"/>
    <w:rsid w:val="00B739F6"/>
    <w:rsid w:val="00B73D94"/>
    <w:rsid w:val="00B7527D"/>
    <w:rsid w:val="00B7709A"/>
    <w:rsid w:val="00B8088E"/>
    <w:rsid w:val="00B816EA"/>
    <w:rsid w:val="00B81A6C"/>
    <w:rsid w:val="00B81B0D"/>
    <w:rsid w:val="00B83956"/>
    <w:rsid w:val="00B84521"/>
    <w:rsid w:val="00B85DE5"/>
    <w:rsid w:val="00B873DB"/>
    <w:rsid w:val="00B87D10"/>
    <w:rsid w:val="00B90F73"/>
    <w:rsid w:val="00B910E6"/>
    <w:rsid w:val="00B92EA3"/>
    <w:rsid w:val="00B93B59"/>
    <w:rsid w:val="00B9406A"/>
    <w:rsid w:val="00B95B9D"/>
    <w:rsid w:val="00B9650A"/>
    <w:rsid w:val="00BA2280"/>
    <w:rsid w:val="00BA2864"/>
    <w:rsid w:val="00BA289A"/>
    <w:rsid w:val="00BA2A08"/>
    <w:rsid w:val="00BA2CBB"/>
    <w:rsid w:val="00BA56D2"/>
    <w:rsid w:val="00BA76E0"/>
    <w:rsid w:val="00BB2A25"/>
    <w:rsid w:val="00BB32B0"/>
    <w:rsid w:val="00BB51E9"/>
    <w:rsid w:val="00BB5F07"/>
    <w:rsid w:val="00BB6077"/>
    <w:rsid w:val="00BB644C"/>
    <w:rsid w:val="00BC0FDC"/>
    <w:rsid w:val="00BC3053"/>
    <w:rsid w:val="00BC4D2E"/>
    <w:rsid w:val="00BC5FBA"/>
    <w:rsid w:val="00BC6FD2"/>
    <w:rsid w:val="00BC7149"/>
    <w:rsid w:val="00BC72EC"/>
    <w:rsid w:val="00BD09F7"/>
    <w:rsid w:val="00BD48AC"/>
    <w:rsid w:val="00BD5F1A"/>
    <w:rsid w:val="00BD6245"/>
    <w:rsid w:val="00BD7A42"/>
    <w:rsid w:val="00BE1234"/>
    <w:rsid w:val="00BE2682"/>
    <w:rsid w:val="00BE2FA6"/>
    <w:rsid w:val="00BE333F"/>
    <w:rsid w:val="00BE3373"/>
    <w:rsid w:val="00BE49D7"/>
    <w:rsid w:val="00BE5419"/>
    <w:rsid w:val="00BE5917"/>
    <w:rsid w:val="00BE6440"/>
    <w:rsid w:val="00BE7406"/>
    <w:rsid w:val="00BE7603"/>
    <w:rsid w:val="00BE7AA6"/>
    <w:rsid w:val="00BF0D96"/>
    <w:rsid w:val="00BF1E13"/>
    <w:rsid w:val="00BF2C43"/>
    <w:rsid w:val="00BF3279"/>
    <w:rsid w:val="00BF3D93"/>
    <w:rsid w:val="00BF48BE"/>
    <w:rsid w:val="00BF4D11"/>
    <w:rsid w:val="00BF5266"/>
    <w:rsid w:val="00BF5A81"/>
    <w:rsid w:val="00BF74C7"/>
    <w:rsid w:val="00C015F1"/>
    <w:rsid w:val="00C01F33"/>
    <w:rsid w:val="00C02CC6"/>
    <w:rsid w:val="00C040F7"/>
    <w:rsid w:val="00C044AB"/>
    <w:rsid w:val="00C04DD2"/>
    <w:rsid w:val="00C05706"/>
    <w:rsid w:val="00C07377"/>
    <w:rsid w:val="00C07506"/>
    <w:rsid w:val="00C07C43"/>
    <w:rsid w:val="00C10478"/>
    <w:rsid w:val="00C10F3D"/>
    <w:rsid w:val="00C1131A"/>
    <w:rsid w:val="00C12107"/>
    <w:rsid w:val="00C14D4B"/>
    <w:rsid w:val="00C15262"/>
    <w:rsid w:val="00C154BB"/>
    <w:rsid w:val="00C21188"/>
    <w:rsid w:val="00C21A03"/>
    <w:rsid w:val="00C21BAB"/>
    <w:rsid w:val="00C22738"/>
    <w:rsid w:val="00C244D7"/>
    <w:rsid w:val="00C24539"/>
    <w:rsid w:val="00C26D72"/>
    <w:rsid w:val="00C279B5"/>
    <w:rsid w:val="00C27AE9"/>
    <w:rsid w:val="00C27C45"/>
    <w:rsid w:val="00C36C34"/>
    <w:rsid w:val="00C3719D"/>
    <w:rsid w:val="00C44BFE"/>
    <w:rsid w:val="00C45B86"/>
    <w:rsid w:val="00C46A94"/>
    <w:rsid w:val="00C4713E"/>
    <w:rsid w:val="00C51430"/>
    <w:rsid w:val="00C52C06"/>
    <w:rsid w:val="00C54995"/>
    <w:rsid w:val="00C54D41"/>
    <w:rsid w:val="00C60783"/>
    <w:rsid w:val="00C62A99"/>
    <w:rsid w:val="00C632A4"/>
    <w:rsid w:val="00C64672"/>
    <w:rsid w:val="00C65BC9"/>
    <w:rsid w:val="00C6628F"/>
    <w:rsid w:val="00C66B14"/>
    <w:rsid w:val="00C672E7"/>
    <w:rsid w:val="00C70697"/>
    <w:rsid w:val="00C7110B"/>
    <w:rsid w:val="00C715AF"/>
    <w:rsid w:val="00C72EF4"/>
    <w:rsid w:val="00C75D2F"/>
    <w:rsid w:val="00C767BE"/>
    <w:rsid w:val="00C76E3C"/>
    <w:rsid w:val="00C7727D"/>
    <w:rsid w:val="00C77776"/>
    <w:rsid w:val="00C77795"/>
    <w:rsid w:val="00C81568"/>
    <w:rsid w:val="00C82AE9"/>
    <w:rsid w:val="00C9027A"/>
    <w:rsid w:val="00C9068E"/>
    <w:rsid w:val="00C92B2C"/>
    <w:rsid w:val="00C93C4B"/>
    <w:rsid w:val="00C944AB"/>
    <w:rsid w:val="00C95B40"/>
    <w:rsid w:val="00CA14BA"/>
    <w:rsid w:val="00CA1ED8"/>
    <w:rsid w:val="00CB09DB"/>
    <w:rsid w:val="00CB1F63"/>
    <w:rsid w:val="00CB23B1"/>
    <w:rsid w:val="00CB328C"/>
    <w:rsid w:val="00CB7170"/>
    <w:rsid w:val="00CC040E"/>
    <w:rsid w:val="00CC111F"/>
    <w:rsid w:val="00CC161A"/>
    <w:rsid w:val="00CC2011"/>
    <w:rsid w:val="00CC3EA0"/>
    <w:rsid w:val="00CC5477"/>
    <w:rsid w:val="00CC64D0"/>
    <w:rsid w:val="00CC7B45"/>
    <w:rsid w:val="00CD0D4E"/>
    <w:rsid w:val="00CD1188"/>
    <w:rsid w:val="00CD127A"/>
    <w:rsid w:val="00CD2ED1"/>
    <w:rsid w:val="00CD337B"/>
    <w:rsid w:val="00CD48BC"/>
    <w:rsid w:val="00CD6EB6"/>
    <w:rsid w:val="00CE0424"/>
    <w:rsid w:val="00CE1E07"/>
    <w:rsid w:val="00CE1E5D"/>
    <w:rsid w:val="00CE1F01"/>
    <w:rsid w:val="00CE3D86"/>
    <w:rsid w:val="00CE7561"/>
    <w:rsid w:val="00CF1354"/>
    <w:rsid w:val="00CF1BAB"/>
    <w:rsid w:val="00CF3681"/>
    <w:rsid w:val="00CF3B1F"/>
    <w:rsid w:val="00CF3BF6"/>
    <w:rsid w:val="00CF625B"/>
    <w:rsid w:val="00CF6399"/>
    <w:rsid w:val="00CF687E"/>
    <w:rsid w:val="00D00AE7"/>
    <w:rsid w:val="00D0268A"/>
    <w:rsid w:val="00D0349B"/>
    <w:rsid w:val="00D0541D"/>
    <w:rsid w:val="00D07CF0"/>
    <w:rsid w:val="00D07D73"/>
    <w:rsid w:val="00D10249"/>
    <w:rsid w:val="00D115C3"/>
    <w:rsid w:val="00D11897"/>
    <w:rsid w:val="00D13135"/>
    <w:rsid w:val="00D13E4E"/>
    <w:rsid w:val="00D17209"/>
    <w:rsid w:val="00D17692"/>
    <w:rsid w:val="00D20493"/>
    <w:rsid w:val="00D21187"/>
    <w:rsid w:val="00D239A7"/>
    <w:rsid w:val="00D23F47"/>
    <w:rsid w:val="00D261DE"/>
    <w:rsid w:val="00D31DCA"/>
    <w:rsid w:val="00D321B4"/>
    <w:rsid w:val="00D32A9B"/>
    <w:rsid w:val="00D330F5"/>
    <w:rsid w:val="00D36E71"/>
    <w:rsid w:val="00D3710F"/>
    <w:rsid w:val="00D37D87"/>
    <w:rsid w:val="00D40B33"/>
    <w:rsid w:val="00D421FE"/>
    <w:rsid w:val="00D4318F"/>
    <w:rsid w:val="00D438BF"/>
    <w:rsid w:val="00D43AAA"/>
    <w:rsid w:val="00D440F8"/>
    <w:rsid w:val="00D4465F"/>
    <w:rsid w:val="00D44667"/>
    <w:rsid w:val="00D45A6C"/>
    <w:rsid w:val="00D46E03"/>
    <w:rsid w:val="00D4714F"/>
    <w:rsid w:val="00D53963"/>
    <w:rsid w:val="00D546FF"/>
    <w:rsid w:val="00D547DD"/>
    <w:rsid w:val="00D54DAA"/>
    <w:rsid w:val="00D55AD5"/>
    <w:rsid w:val="00D564F4"/>
    <w:rsid w:val="00D576CA"/>
    <w:rsid w:val="00D61AF5"/>
    <w:rsid w:val="00D63D22"/>
    <w:rsid w:val="00D652B5"/>
    <w:rsid w:val="00D66155"/>
    <w:rsid w:val="00D66CAA"/>
    <w:rsid w:val="00D70559"/>
    <w:rsid w:val="00D708B0"/>
    <w:rsid w:val="00D73F20"/>
    <w:rsid w:val="00D74902"/>
    <w:rsid w:val="00D77B1D"/>
    <w:rsid w:val="00D8021F"/>
    <w:rsid w:val="00D80383"/>
    <w:rsid w:val="00D80AC8"/>
    <w:rsid w:val="00D823C6"/>
    <w:rsid w:val="00D84043"/>
    <w:rsid w:val="00D86CA3"/>
    <w:rsid w:val="00D871CE"/>
    <w:rsid w:val="00D87C6E"/>
    <w:rsid w:val="00D9196D"/>
    <w:rsid w:val="00D92982"/>
    <w:rsid w:val="00D95DF5"/>
    <w:rsid w:val="00DA1092"/>
    <w:rsid w:val="00DA2F32"/>
    <w:rsid w:val="00DA305E"/>
    <w:rsid w:val="00DA5417"/>
    <w:rsid w:val="00DA56E8"/>
    <w:rsid w:val="00DA5BFE"/>
    <w:rsid w:val="00DB0A9F"/>
    <w:rsid w:val="00DB377D"/>
    <w:rsid w:val="00DB6176"/>
    <w:rsid w:val="00DB650E"/>
    <w:rsid w:val="00DB6F5A"/>
    <w:rsid w:val="00DB6FED"/>
    <w:rsid w:val="00DC1C50"/>
    <w:rsid w:val="00DC1D37"/>
    <w:rsid w:val="00DC2D36"/>
    <w:rsid w:val="00DC35E7"/>
    <w:rsid w:val="00DC53EF"/>
    <w:rsid w:val="00DD3327"/>
    <w:rsid w:val="00DD6051"/>
    <w:rsid w:val="00DD6BE3"/>
    <w:rsid w:val="00DD6CA7"/>
    <w:rsid w:val="00DE1D3A"/>
    <w:rsid w:val="00DE3BDB"/>
    <w:rsid w:val="00DE5608"/>
    <w:rsid w:val="00DE58D0"/>
    <w:rsid w:val="00DE654F"/>
    <w:rsid w:val="00DE7A08"/>
    <w:rsid w:val="00DF00E5"/>
    <w:rsid w:val="00DF066C"/>
    <w:rsid w:val="00DF0B6E"/>
    <w:rsid w:val="00DF15E0"/>
    <w:rsid w:val="00DF195B"/>
    <w:rsid w:val="00DF1EF3"/>
    <w:rsid w:val="00DF37A0"/>
    <w:rsid w:val="00DF3E81"/>
    <w:rsid w:val="00DF44D9"/>
    <w:rsid w:val="00DF5B71"/>
    <w:rsid w:val="00DF5EB5"/>
    <w:rsid w:val="00DF7229"/>
    <w:rsid w:val="00E00660"/>
    <w:rsid w:val="00E00BE1"/>
    <w:rsid w:val="00E0654B"/>
    <w:rsid w:val="00E07842"/>
    <w:rsid w:val="00E110E7"/>
    <w:rsid w:val="00E116D3"/>
    <w:rsid w:val="00E11B20"/>
    <w:rsid w:val="00E13EF7"/>
    <w:rsid w:val="00E140BE"/>
    <w:rsid w:val="00E14C07"/>
    <w:rsid w:val="00E14DE4"/>
    <w:rsid w:val="00E15FF9"/>
    <w:rsid w:val="00E17FA2"/>
    <w:rsid w:val="00E22330"/>
    <w:rsid w:val="00E23A26"/>
    <w:rsid w:val="00E24655"/>
    <w:rsid w:val="00E24F7E"/>
    <w:rsid w:val="00E30B5A"/>
    <w:rsid w:val="00E30DC9"/>
    <w:rsid w:val="00E30E5A"/>
    <w:rsid w:val="00E3123D"/>
    <w:rsid w:val="00E31461"/>
    <w:rsid w:val="00E31D43"/>
    <w:rsid w:val="00E32608"/>
    <w:rsid w:val="00E34188"/>
    <w:rsid w:val="00E34882"/>
    <w:rsid w:val="00E34B6E"/>
    <w:rsid w:val="00E35559"/>
    <w:rsid w:val="00E356C5"/>
    <w:rsid w:val="00E35D73"/>
    <w:rsid w:val="00E35D9F"/>
    <w:rsid w:val="00E3723A"/>
    <w:rsid w:val="00E372B8"/>
    <w:rsid w:val="00E3747A"/>
    <w:rsid w:val="00E37860"/>
    <w:rsid w:val="00E40525"/>
    <w:rsid w:val="00E446F1"/>
    <w:rsid w:val="00E447D4"/>
    <w:rsid w:val="00E45DF7"/>
    <w:rsid w:val="00E46159"/>
    <w:rsid w:val="00E46886"/>
    <w:rsid w:val="00E47AEF"/>
    <w:rsid w:val="00E50DDC"/>
    <w:rsid w:val="00E52A05"/>
    <w:rsid w:val="00E53B75"/>
    <w:rsid w:val="00E54E3B"/>
    <w:rsid w:val="00E56BB1"/>
    <w:rsid w:val="00E573A9"/>
    <w:rsid w:val="00E57565"/>
    <w:rsid w:val="00E60A09"/>
    <w:rsid w:val="00E6293D"/>
    <w:rsid w:val="00E63838"/>
    <w:rsid w:val="00E642AE"/>
    <w:rsid w:val="00E64434"/>
    <w:rsid w:val="00E6552D"/>
    <w:rsid w:val="00E655CC"/>
    <w:rsid w:val="00E658F2"/>
    <w:rsid w:val="00E67C51"/>
    <w:rsid w:val="00E70801"/>
    <w:rsid w:val="00E72EFC"/>
    <w:rsid w:val="00E74676"/>
    <w:rsid w:val="00E758EC"/>
    <w:rsid w:val="00E77CCC"/>
    <w:rsid w:val="00E80A45"/>
    <w:rsid w:val="00E8234C"/>
    <w:rsid w:val="00E83AA9"/>
    <w:rsid w:val="00E84956"/>
    <w:rsid w:val="00E85928"/>
    <w:rsid w:val="00E87822"/>
    <w:rsid w:val="00E90395"/>
    <w:rsid w:val="00E90E49"/>
    <w:rsid w:val="00E9132B"/>
    <w:rsid w:val="00E91510"/>
    <w:rsid w:val="00E917F9"/>
    <w:rsid w:val="00E9291C"/>
    <w:rsid w:val="00E93FFE"/>
    <w:rsid w:val="00E940BF"/>
    <w:rsid w:val="00E944AB"/>
    <w:rsid w:val="00E94F8A"/>
    <w:rsid w:val="00E951EC"/>
    <w:rsid w:val="00E9752B"/>
    <w:rsid w:val="00EA243E"/>
    <w:rsid w:val="00EA47DE"/>
    <w:rsid w:val="00EA7A41"/>
    <w:rsid w:val="00EB031C"/>
    <w:rsid w:val="00EB077B"/>
    <w:rsid w:val="00EB2AF0"/>
    <w:rsid w:val="00EB49E3"/>
    <w:rsid w:val="00EB4EA2"/>
    <w:rsid w:val="00EB5EE0"/>
    <w:rsid w:val="00EB7E86"/>
    <w:rsid w:val="00EC27C6"/>
    <w:rsid w:val="00EC4207"/>
    <w:rsid w:val="00EC5653"/>
    <w:rsid w:val="00EC71CE"/>
    <w:rsid w:val="00ED1006"/>
    <w:rsid w:val="00ED1628"/>
    <w:rsid w:val="00ED2AAD"/>
    <w:rsid w:val="00ED44FC"/>
    <w:rsid w:val="00ED68C3"/>
    <w:rsid w:val="00ED7D94"/>
    <w:rsid w:val="00EE2BAF"/>
    <w:rsid w:val="00EE38C6"/>
    <w:rsid w:val="00EE7299"/>
    <w:rsid w:val="00EF18FE"/>
    <w:rsid w:val="00EF2C61"/>
    <w:rsid w:val="00EF3C81"/>
    <w:rsid w:val="00EF4221"/>
    <w:rsid w:val="00EF4650"/>
    <w:rsid w:val="00EF4C30"/>
    <w:rsid w:val="00EF5787"/>
    <w:rsid w:val="00EF60D0"/>
    <w:rsid w:val="00F02FF7"/>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41DA"/>
    <w:rsid w:val="00F35D32"/>
    <w:rsid w:val="00F36672"/>
    <w:rsid w:val="00F36845"/>
    <w:rsid w:val="00F40F0C"/>
    <w:rsid w:val="00F42239"/>
    <w:rsid w:val="00F45CB6"/>
    <w:rsid w:val="00F4766C"/>
    <w:rsid w:val="00F50548"/>
    <w:rsid w:val="00F507D1"/>
    <w:rsid w:val="00F50B3D"/>
    <w:rsid w:val="00F514BD"/>
    <w:rsid w:val="00F519CE"/>
    <w:rsid w:val="00F51ADA"/>
    <w:rsid w:val="00F52048"/>
    <w:rsid w:val="00F5550F"/>
    <w:rsid w:val="00F56091"/>
    <w:rsid w:val="00F607C5"/>
    <w:rsid w:val="00F60DEA"/>
    <w:rsid w:val="00F6302A"/>
    <w:rsid w:val="00F64C2B"/>
    <w:rsid w:val="00F651BE"/>
    <w:rsid w:val="00F67F53"/>
    <w:rsid w:val="00F703BE"/>
    <w:rsid w:val="00F7086B"/>
    <w:rsid w:val="00F71F69"/>
    <w:rsid w:val="00F72B72"/>
    <w:rsid w:val="00F72EA9"/>
    <w:rsid w:val="00F741E2"/>
    <w:rsid w:val="00F74390"/>
    <w:rsid w:val="00F74B97"/>
    <w:rsid w:val="00F74BB9"/>
    <w:rsid w:val="00F74BD3"/>
    <w:rsid w:val="00F75582"/>
    <w:rsid w:val="00F76EFA"/>
    <w:rsid w:val="00F77665"/>
    <w:rsid w:val="00F8033E"/>
    <w:rsid w:val="00F804BE"/>
    <w:rsid w:val="00F817CE"/>
    <w:rsid w:val="00F81AF6"/>
    <w:rsid w:val="00F8456C"/>
    <w:rsid w:val="00F848DD"/>
    <w:rsid w:val="00F84D56"/>
    <w:rsid w:val="00F859D8"/>
    <w:rsid w:val="00F8626D"/>
    <w:rsid w:val="00F86334"/>
    <w:rsid w:val="00F868F5"/>
    <w:rsid w:val="00F9056A"/>
    <w:rsid w:val="00F90A97"/>
    <w:rsid w:val="00F90F8D"/>
    <w:rsid w:val="00F92782"/>
    <w:rsid w:val="00F93A82"/>
    <w:rsid w:val="00F93AA9"/>
    <w:rsid w:val="00F96985"/>
    <w:rsid w:val="00F96FCD"/>
    <w:rsid w:val="00F974D0"/>
    <w:rsid w:val="00F97838"/>
    <w:rsid w:val="00FA2BB3"/>
    <w:rsid w:val="00FA4075"/>
    <w:rsid w:val="00FA78D9"/>
    <w:rsid w:val="00FB05A7"/>
    <w:rsid w:val="00FB216B"/>
    <w:rsid w:val="00FB335F"/>
    <w:rsid w:val="00FB3B05"/>
    <w:rsid w:val="00FB4C80"/>
    <w:rsid w:val="00FB6A6A"/>
    <w:rsid w:val="00FB7AE3"/>
    <w:rsid w:val="00FC1C0B"/>
    <w:rsid w:val="00FC4E33"/>
    <w:rsid w:val="00FC5320"/>
    <w:rsid w:val="00FC721F"/>
    <w:rsid w:val="00FC7429"/>
    <w:rsid w:val="00FC74B1"/>
    <w:rsid w:val="00FD07F6"/>
    <w:rsid w:val="00FD0EE5"/>
    <w:rsid w:val="00FD1EC8"/>
    <w:rsid w:val="00FD22E9"/>
    <w:rsid w:val="00FD2354"/>
    <w:rsid w:val="00FD28DA"/>
    <w:rsid w:val="00FD47ED"/>
    <w:rsid w:val="00FD50C6"/>
    <w:rsid w:val="00FD6026"/>
    <w:rsid w:val="00FD65AC"/>
    <w:rsid w:val="00FD6825"/>
    <w:rsid w:val="00FD69CA"/>
    <w:rsid w:val="00FD74DB"/>
    <w:rsid w:val="00FD7660"/>
    <w:rsid w:val="00FE0655"/>
    <w:rsid w:val="00FE2365"/>
    <w:rsid w:val="00FE2ABC"/>
    <w:rsid w:val="00FE37D6"/>
    <w:rsid w:val="00FE4329"/>
    <w:rsid w:val="00FE4C7B"/>
    <w:rsid w:val="00FE7336"/>
    <w:rsid w:val="00FE787C"/>
    <w:rsid w:val="00FF1750"/>
    <w:rsid w:val="00FF2714"/>
    <w:rsid w:val="00FF429F"/>
    <w:rsid w:val="00FF44FC"/>
    <w:rsid w:val="00FF45A5"/>
    <w:rsid w:val="00FF5055"/>
    <w:rsid w:val="00FF5AB8"/>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06847">
      <w:bodyDiv w:val="1"/>
      <w:marLeft w:val="0"/>
      <w:marRight w:val="0"/>
      <w:marTop w:val="0"/>
      <w:marBottom w:val="0"/>
      <w:divBdr>
        <w:top w:val="none" w:sz="0" w:space="0" w:color="auto"/>
        <w:left w:val="none" w:sz="0" w:space="0" w:color="auto"/>
        <w:bottom w:val="none" w:sz="0" w:space="0" w:color="auto"/>
        <w:right w:val="none" w:sz="0" w:space="0" w:color="auto"/>
      </w:divBdr>
    </w:div>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1490276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41974456">
      <w:bodyDiv w:val="1"/>
      <w:marLeft w:val="0"/>
      <w:marRight w:val="0"/>
      <w:marTop w:val="0"/>
      <w:marBottom w:val="0"/>
      <w:divBdr>
        <w:top w:val="none" w:sz="0" w:space="0" w:color="auto"/>
        <w:left w:val="none" w:sz="0" w:space="0" w:color="auto"/>
        <w:bottom w:val="none" w:sz="0" w:space="0" w:color="auto"/>
        <w:right w:val="none" w:sz="0" w:space="0" w:color="auto"/>
      </w:divBdr>
      <w:divsChild>
        <w:div w:id="829910362">
          <w:marLeft w:val="274"/>
          <w:marRight w:val="0"/>
          <w:marTop w:val="115"/>
          <w:marBottom w:val="0"/>
          <w:divBdr>
            <w:top w:val="none" w:sz="0" w:space="0" w:color="auto"/>
            <w:left w:val="none" w:sz="0" w:space="0" w:color="auto"/>
            <w:bottom w:val="none" w:sz="0" w:space="0" w:color="auto"/>
            <w:right w:val="none" w:sz="0" w:space="0" w:color="auto"/>
          </w:divBdr>
        </w:div>
        <w:div w:id="166092118">
          <w:marLeft w:val="835"/>
          <w:marRight w:val="0"/>
          <w:marTop w:val="96"/>
          <w:marBottom w:val="0"/>
          <w:divBdr>
            <w:top w:val="none" w:sz="0" w:space="0" w:color="auto"/>
            <w:left w:val="none" w:sz="0" w:space="0" w:color="auto"/>
            <w:bottom w:val="none" w:sz="0" w:space="0" w:color="auto"/>
            <w:right w:val="none" w:sz="0" w:space="0" w:color="auto"/>
          </w:divBdr>
        </w:div>
        <w:div w:id="1982809808">
          <w:marLeft w:val="274"/>
          <w:marRight w:val="0"/>
          <w:marTop w:val="115"/>
          <w:marBottom w:val="0"/>
          <w:divBdr>
            <w:top w:val="none" w:sz="0" w:space="0" w:color="auto"/>
            <w:left w:val="none" w:sz="0" w:space="0" w:color="auto"/>
            <w:bottom w:val="none" w:sz="0" w:space="0" w:color="auto"/>
            <w:right w:val="none" w:sz="0" w:space="0" w:color="auto"/>
          </w:divBdr>
        </w:div>
        <w:div w:id="801264976">
          <w:marLeft w:val="835"/>
          <w:marRight w:val="0"/>
          <w:marTop w:val="96"/>
          <w:marBottom w:val="0"/>
          <w:divBdr>
            <w:top w:val="none" w:sz="0" w:space="0" w:color="auto"/>
            <w:left w:val="none" w:sz="0" w:space="0" w:color="auto"/>
            <w:bottom w:val="none" w:sz="0" w:space="0" w:color="auto"/>
            <w:right w:val="none" w:sz="0" w:space="0" w:color="auto"/>
          </w:divBdr>
        </w:div>
        <w:div w:id="763301726">
          <w:marLeft w:val="835"/>
          <w:marRight w:val="0"/>
          <w:marTop w:val="96"/>
          <w:marBottom w:val="0"/>
          <w:divBdr>
            <w:top w:val="none" w:sz="0" w:space="0" w:color="auto"/>
            <w:left w:val="none" w:sz="0" w:space="0" w:color="auto"/>
            <w:bottom w:val="none" w:sz="0" w:space="0" w:color="auto"/>
            <w:right w:val="none" w:sz="0" w:space="0" w:color="auto"/>
          </w:divBdr>
        </w:div>
        <w:div w:id="1575892113">
          <w:marLeft w:val="274"/>
          <w:marRight w:val="0"/>
          <w:marTop w:val="115"/>
          <w:marBottom w:val="0"/>
          <w:divBdr>
            <w:top w:val="none" w:sz="0" w:space="0" w:color="auto"/>
            <w:left w:val="none" w:sz="0" w:space="0" w:color="auto"/>
            <w:bottom w:val="none" w:sz="0" w:space="0" w:color="auto"/>
            <w:right w:val="none" w:sz="0" w:space="0" w:color="auto"/>
          </w:divBdr>
        </w:div>
        <w:div w:id="2041666568">
          <w:marLeft w:val="274"/>
          <w:marRight w:val="0"/>
          <w:marTop w:val="115"/>
          <w:marBottom w:val="0"/>
          <w:divBdr>
            <w:top w:val="none" w:sz="0" w:space="0" w:color="auto"/>
            <w:left w:val="none" w:sz="0" w:space="0" w:color="auto"/>
            <w:bottom w:val="none" w:sz="0" w:space="0" w:color="auto"/>
            <w:right w:val="none" w:sz="0" w:space="0" w:color="auto"/>
          </w:divBdr>
        </w:div>
      </w:divsChild>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42872068">
      <w:bodyDiv w:val="1"/>
      <w:marLeft w:val="0"/>
      <w:marRight w:val="0"/>
      <w:marTop w:val="0"/>
      <w:marBottom w:val="0"/>
      <w:divBdr>
        <w:top w:val="none" w:sz="0" w:space="0" w:color="auto"/>
        <w:left w:val="none" w:sz="0" w:space="0" w:color="auto"/>
        <w:bottom w:val="none" w:sz="0" w:space="0" w:color="auto"/>
        <w:right w:val="none" w:sz="0" w:space="0" w:color="auto"/>
      </w:divBdr>
    </w:div>
    <w:div w:id="1843860556">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 w:id="2134326677">
      <w:bodyDiv w:val="1"/>
      <w:marLeft w:val="0"/>
      <w:marRight w:val="0"/>
      <w:marTop w:val="0"/>
      <w:marBottom w:val="0"/>
      <w:divBdr>
        <w:top w:val="none" w:sz="0" w:space="0" w:color="auto"/>
        <w:left w:val="none" w:sz="0" w:space="0" w:color="auto"/>
        <w:bottom w:val="none" w:sz="0" w:space="0" w:color="auto"/>
        <w:right w:val="none" w:sz="0" w:space="0" w:color="auto"/>
      </w:divBdr>
      <w:divsChild>
        <w:div w:id="215091531">
          <w:marLeft w:val="274"/>
          <w:marRight w:val="0"/>
          <w:marTop w:val="115"/>
          <w:marBottom w:val="0"/>
          <w:divBdr>
            <w:top w:val="none" w:sz="0" w:space="0" w:color="auto"/>
            <w:left w:val="none" w:sz="0" w:space="0" w:color="auto"/>
            <w:bottom w:val="none" w:sz="0" w:space="0" w:color="auto"/>
            <w:right w:val="none" w:sz="0" w:space="0" w:color="auto"/>
          </w:divBdr>
        </w:div>
        <w:div w:id="1128015788">
          <w:marLeft w:val="835"/>
          <w:marRight w:val="0"/>
          <w:marTop w:val="96"/>
          <w:marBottom w:val="0"/>
          <w:divBdr>
            <w:top w:val="none" w:sz="0" w:space="0" w:color="auto"/>
            <w:left w:val="none" w:sz="0" w:space="0" w:color="auto"/>
            <w:bottom w:val="none" w:sz="0" w:space="0" w:color="auto"/>
            <w:right w:val="none" w:sz="0" w:space="0" w:color="auto"/>
          </w:divBdr>
        </w:div>
        <w:div w:id="1942371404">
          <w:marLeft w:val="274"/>
          <w:marRight w:val="0"/>
          <w:marTop w:val="115"/>
          <w:marBottom w:val="0"/>
          <w:divBdr>
            <w:top w:val="none" w:sz="0" w:space="0" w:color="auto"/>
            <w:left w:val="none" w:sz="0" w:space="0" w:color="auto"/>
            <w:bottom w:val="none" w:sz="0" w:space="0" w:color="auto"/>
            <w:right w:val="none" w:sz="0" w:space="0" w:color="auto"/>
          </w:divBdr>
        </w:div>
        <w:div w:id="367997225">
          <w:marLeft w:val="835"/>
          <w:marRight w:val="0"/>
          <w:marTop w:val="96"/>
          <w:marBottom w:val="0"/>
          <w:divBdr>
            <w:top w:val="none" w:sz="0" w:space="0" w:color="auto"/>
            <w:left w:val="none" w:sz="0" w:space="0" w:color="auto"/>
            <w:bottom w:val="none" w:sz="0" w:space="0" w:color="auto"/>
            <w:right w:val="none" w:sz="0" w:space="0" w:color="auto"/>
          </w:divBdr>
        </w:div>
        <w:div w:id="1576166408">
          <w:marLeft w:val="835"/>
          <w:marRight w:val="0"/>
          <w:marTop w:val="96"/>
          <w:marBottom w:val="0"/>
          <w:divBdr>
            <w:top w:val="none" w:sz="0" w:space="0" w:color="auto"/>
            <w:left w:val="none" w:sz="0" w:space="0" w:color="auto"/>
            <w:bottom w:val="none" w:sz="0" w:space="0" w:color="auto"/>
            <w:right w:val="none" w:sz="0" w:space="0" w:color="auto"/>
          </w:divBdr>
        </w:div>
        <w:div w:id="1181973325">
          <w:marLeft w:val="274"/>
          <w:marRight w:val="0"/>
          <w:marTop w:val="115"/>
          <w:marBottom w:val="0"/>
          <w:divBdr>
            <w:top w:val="none" w:sz="0" w:space="0" w:color="auto"/>
            <w:left w:val="none" w:sz="0" w:space="0" w:color="auto"/>
            <w:bottom w:val="none" w:sz="0" w:space="0" w:color="auto"/>
            <w:right w:val="none" w:sz="0" w:space="0" w:color="auto"/>
          </w:divBdr>
        </w:div>
        <w:div w:id="140654439">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DynaReport/36842.htm"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metis-ii.5g-ppp.eu/wp-content/uploads/5G-PPP-METIS-II-5G-RAN-Architecture-White-Paper.pdf"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yperlink" Target="http://www.3gpp.org/DynaReport/38913.htm"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SAQRZK7RPU5V-1-460</_dlc_DocId>
    <_dlc_DocIdUrl xmlns="08b2df90-05d3-4030-90d4-c9feeb4a1cd9">
      <Url>https://ericoll.internal.ericsson.com/sites/NSA/_layouts/DocIdRedir.aspx?ID=SAQRZK7RPU5V-1-460</Url>
      <Description>SAQRZK7RPU5V-1-460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95413940-9BA6-4BA5-9125-B0B2513E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5</Pages>
  <Words>1732</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3</cp:revision>
  <cp:lastPrinted>2016-03-02T07:21:00Z</cp:lastPrinted>
  <dcterms:created xsi:type="dcterms:W3CDTF">2016-04-01T23:36:00Z</dcterms:created>
  <dcterms:modified xsi:type="dcterms:W3CDTF">2016-04-02T00:49:00Z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720efdb7-d94e-4449-95ee-2e97cfc3007b</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